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  <w:r>
        <w:rPr>
          <w:szCs w:val="22"/>
          <w:lang w:val="pt-BR"/>
        </w:rPr>
        <w:t>LEGENDA DAS FIGURAS</w:t>
      </w:r>
    </w:p>
    <w:p w:rsidR="00A23AA0" w:rsidRPr="00AC4946" w:rsidRDefault="00A23AA0" w:rsidP="00A23AA0">
      <w:pPr>
        <w:spacing w:before="0" w:after="0" w:line="276" w:lineRule="auto"/>
        <w:jc w:val="center"/>
        <w:rPr>
          <w:szCs w:val="22"/>
          <w:lang w:val="pt-BR"/>
        </w:rPr>
      </w:pPr>
      <w:r w:rsidRPr="00AC4946">
        <w:rPr>
          <w:noProof/>
          <w:szCs w:val="22"/>
          <w:lang w:val="pt-BR" w:eastAsia="pt-BR"/>
        </w:rPr>
        <w:drawing>
          <wp:inline distT="0" distB="0" distL="0" distR="0">
            <wp:extent cx="5400040" cy="3269615"/>
            <wp:effectExtent l="19050" t="0" r="0" b="0"/>
            <wp:docPr id="3" name="Imagem 1" descr="Localização Jucaz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ização Jucazinh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AA0" w:rsidRDefault="00A23AA0" w:rsidP="00A23AA0">
      <w:pPr>
        <w:spacing w:before="0" w:after="0" w:line="276" w:lineRule="auto"/>
        <w:jc w:val="center"/>
        <w:rPr>
          <w:szCs w:val="22"/>
          <w:lang w:val="pt-BR"/>
        </w:rPr>
      </w:pPr>
      <w:bookmarkStart w:id="0" w:name="_Ref457143713"/>
      <w:r w:rsidRPr="000A0C71">
        <w:rPr>
          <w:b/>
          <w:sz w:val="20"/>
          <w:lang w:val="pt-BR"/>
        </w:rPr>
        <w:t xml:space="preserve">Figura </w:t>
      </w:r>
      <w:r w:rsidRPr="000A0C71">
        <w:rPr>
          <w:b/>
          <w:sz w:val="20"/>
        </w:rPr>
        <w:fldChar w:fldCharType="begin"/>
      </w:r>
      <w:r w:rsidRPr="000A0C71">
        <w:rPr>
          <w:b/>
          <w:sz w:val="20"/>
          <w:lang w:val="pt-BR"/>
        </w:rPr>
        <w:instrText xml:space="preserve"> SEQ Figura \* ARABIC </w:instrText>
      </w:r>
      <w:r w:rsidRPr="000A0C71">
        <w:rPr>
          <w:b/>
          <w:sz w:val="20"/>
        </w:rPr>
        <w:fldChar w:fldCharType="separate"/>
      </w:r>
      <w:r>
        <w:rPr>
          <w:b/>
          <w:noProof/>
          <w:sz w:val="20"/>
          <w:lang w:val="pt-BR"/>
        </w:rPr>
        <w:t>1</w:t>
      </w:r>
      <w:r w:rsidRPr="000A0C71">
        <w:rPr>
          <w:b/>
          <w:sz w:val="20"/>
        </w:rPr>
        <w:fldChar w:fldCharType="end"/>
      </w:r>
      <w:bookmarkStart w:id="1" w:name="_Ref441132174"/>
      <w:bookmarkEnd w:id="0"/>
      <w:r w:rsidRPr="000A0C71">
        <w:rPr>
          <w:b/>
          <w:sz w:val="20"/>
          <w:lang w:val="pt-BR"/>
        </w:rPr>
        <w:t xml:space="preserve">- Mapa de </w:t>
      </w:r>
      <w:r w:rsidRPr="00C66F78">
        <w:rPr>
          <w:b/>
          <w:sz w:val="20"/>
          <w:lang w:val="pt-BR"/>
        </w:rPr>
        <w:t>Localização do reservatório</w:t>
      </w:r>
      <w:r w:rsidRPr="000A0C71">
        <w:rPr>
          <w:b/>
          <w:sz w:val="20"/>
          <w:lang w:val="pt-BR"/>
        </w:rPr>
        <w:t xml:space="preserve"> </w:t>
      </w:r>
      <w:proofErr w:type="spellStart"/>
      <w:r w:rsidRPr="000A0C71">
        <w:rPr>
          <w:b/>
          <w:sz w:val="20"/>
          <w:lang w:val="pt-BR"/>
        </w:rPr>
        <w:t>Jucazinho</w:t>
      </w:r>
      <w:bookmarkEnd w:id="1"/>
      <w:proofErr w:type="spellEnd"/>
      <w:r>
        <w:rPr>
          <w:b/>
          <w:sz w:val="20"/>
          <w:lang w:val="pt-BR"/>
        </w:rPr>
        <w:t xml:space="preserve">. </w:t>
      </w:r>
      <w:r w:rsidRPr="00D40F42">
        <w:rPr>
          <w:b/>
          <w:sz w:val="20"/>
          <w:lang w:val="pt-BR"/>
        </w:rPr>
        <w:t>Fonte: Guimarães, 2015</w:t>
      </w: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center"/>
        <w:rPr>
          <w:szCs w:val="22"/>
          <w:lang w:val="pt-BR"/>
        </w:rPr>
      </w:pPr>
      <w:r w:rsidRPr="00AC4946">
        <w:rPr>
          <w:noProof/>
          <w:szCs w:val="22"/>
          <w:lang w:val="pt-BR" w:eastAsia="pt-BR"/>
        </w:rPr>
        <w:drawing>
          <wp:inline distT="0" distB="0" distL="0" distR="0">
            <wp:extent cx="5400040" cy="3424555"/>
            <wp:effectExtent l="19050" t="0" r="0" b="0"/>
            <wp:docPr id="4" name="Imagem 1" descr="MAPA_proj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PA_proje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AA0" w:rsidRDefault="00A23AA0" w:rsidP="00A23AA0">
      <w:pPr>
        <w:pStyle w:val="Legenda"/>
        <w:rPr>
          <w:lang w:val="pt-BR"/>
        </w:rPr>
      </w:pPr>
      <w:bookmarkStart w:id="2" w:name="_Ref456714854"/>
      <w:r w:rsidRPr="00966D5B">
        <w:rPr>
          <w:lang w:val="pt-BR"/>
        </w:rPr>
        <w:t xml:space="preserve">Figura </w:t>
      </w:r>
      <w:r>
        <w:fldChar w:fldCharType="begin"/>
      </w:r>
      <w:r w:rsidRPr="00966D5B">
        <w:rPr>
          <w:lang w:val="pt-BR"/>
        </w:rPr>
        <w:instrText xml:space="preserve"> SEQ Figura \* ARABIC </w:instrText>
      </w:r>
      <w:r>
        <w:fldChar w:fldCharType="separate"/>
      </w:r>
      <w:r>
        <w:rPr>
          <w:noProof/>
          <w:lang w:val="pt-BR"/>
        </w:rPr>
        <w:t>2</w:t>
      </w:r>
      <w:r>
        <w:fldChar w:fldCharType="end"/>
      </w:r>
      <w:bookmarkEnd w:id="2"/>
      <w:r w:rsidRPr="00966D5B">
        <w:rPr>
          <w:lang w:val="pt-BR"/>
        </w:rPr>
        <w:t xml:space="preserve">- Estações de tratamento do sistema adutor </w:t>
      </w:r>
      <w:proofErr w:type="spellStart"/>
      <w:r w:rsidRPr="00966D5B">
        <w:rPr>
          <w:lang w:val="pt-BR"/>
        </w:rPr>
        <w:t>Jucazinho</w:t>
      </w:r>
      <w:proofErr w:type="spellEnd"/>
      <w:r>
        <w:rPr>
          <w:lang w:val="pt-BR"/>
        </w:rPr>
        <w:t xml:space="preserve">. </w:t>
      </w:r>
      <w:r w:rsidRPr="00D40F42">
        <w:rPr>
          <w:lang w:val="pt-BR"/>
        </w:rPr>
        <w:t>Fonte: Guimarães, 2015</w:t>
      </w:r>
    </w:p>
    <w:p w:rsidR="00A23AA0" w:rsidRDefault="00A23AA0" w:rsidP="00A23AA0">
      <w:pPr>
        <w:pStyle w:val="Legenda"/>
        <w:rPr>
          <w:szCs w:val="22"/>
          <w:shd w:val="clear" w:color="auto" w:fill="FFFFFF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7"/>
        <w:gridCol w:w="4589"/>
      </w:tblGrid>
      <w:tr w:rsidR="00A23AA0" w:rsidRPr="00AF6588" w:rsidTr="00CD24A3">
        <w:trPr>
          <w:trHeight w:val="2394"/>
          <w:jc w:val="center"/>
        </w:trPr>
        <w:tc>
          <w:tcPr>
            <w:tcW w:w="4525" w:type="dxa"/>
            <w:shd w:val="clear" w:color="auto" w:fill="auto"/>
          </w:tcPr>
          <w:p w:rsidR="00A23AA0" w:rsidRPr="00AF6588" w:rsidRDefault="00A23AA0" w:rsidP="00CD24A3">
            <w:pPr>
              <w:suppressAutoHyphens w:val="0"/>
              <w:autoSpaceDE w:val="0"/>
              <w:autoSpaceDN w:val="0"/>
              <w:adjustRightInd w:val="0"/>
              <w:spacing w:after="0"/>
              <w:rPr>
                <w:noProof/>
                <w:color w:val="FF0000"/>
                <w:lang w:eastAsia="pt-BR"/>
              </w:rPr>
            </w:pPr>
            <w:r w:rsidRPr="001E0735">
              <w:rPr>
                <w:noProof/>
                <w:color w:val="FF0000"/>
                <w:lang w:val="pt-BR" w:eastAsia="pt-BR"/>
              </w:rPr>
              <w:lastRenderedPageBreak/>
              <w:drawing>
                <wp:inline distT="0" distB="0" distL="0" distR="0">
                  <wp:extent cx="2769187" cy="2085687"/>
                  <wp:effectExtent l="0" t="0" r="0" b="0"/>
                  <wp:docPr id="8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A23AA0" w:rsidRPr="00AF6588" w:rsidRDefault="00A23AA0" w:rsidP="00CD24A3">
            <w:pPr>
              <w:suppressAutoHyphens w:val="0"/>
              <w:autoSpaceDE w:val="0"/>
              <w:autoSpaceDN w:val="0"/>
              <w:adjustRightInd w:val="0"/>
              <w:spacing w:after="0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4641" w:type="dxa"/>
            <w:shd w:val="clear" w:color="auto" w:fill="auto"/>
          </w:tcPr>
          <w:p w:rsidR="00A23AA0" w:rsidRPr="00AF6588" w:rsidRDefault="00A23AA0" w:rsidP="00CD24A3">
            <w:pPr>
              <w:suppressAutoHyphens w:val="0"/>
              <w:autoSpaceDE w:val="0"/>
              <w:autoSpaceDN w:val="0"/>
              <w:adjustRightInd w:val="0"/>
              <w:spacing w:after="0"/>
              <w:rPr>
                <w:color w:val="FF0000"/>
                <w:highlight w:val="yellow"/>
                <w:lang w:eastAsia="en-US"/>
              </w:rPr>
            </w:pPr>
            <w:r w:rsidRPr="001E0735">
              <w:rPr>
                <w:noProof/>
                <w:color w:val="FF0000"/>
                <w:lang w:val="pt-BR" w:eastAsia="pt-BR"/>
              </w:rPr>
              <w:drawing>
                <wp:inline distT="0" distB="0" distL="0" distR="0">
                  <wp:extent cx="2718543" cy="2085687"/>
                  <wp:effectExtent l="0" t="0" r="0" b="0"/>
                  <wp:docPr id="9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A23AA0" w:rsidRDefault="00A23AA0" w:rsidP="00A23AA0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b/>
          <w:sz w:val="20"/>
          <w:lang w:val="pt-BR"/>
        </w:rPr>
      </w:pPr>
      <w:bookmarkStart w:id="3" w:name="_Ref441132087"/>
      <w:bookmarkStart w:id="4" w:name="_Ref456887236"/>
      <w:r w:rsidRPr="00F849AA">
        <w:rPr>
          <w:b/>
          <w:sz w:val="20"/>
          <w:lang w:val="pt-BR"/>
        </w:rPr>
        <w:t xml:space="preserve">Figura </w:t>
      </w:r>
      <w:r w:rsidRPr="00F849AA">
        <w:rPr>
          <w:b/>
          <w:sz w:val="20"/>
        </w:rPr>
        <w:fldChar w:fldCharType="begin"/>
      </w:r>
      <w:r w:rsidRPr="00F849AA">
        <w:rPr>
          <w:b/>
          <w:sz w:val="20"/>
          <w:lang w:val="pt-BR"/>
        </w:rPr>
        <w:instrText xml:space="preserve"> SEQ Figura \* ARABIC </w:instrText>
      </w:r>
      <w:r w:rsidRPr="00F849AA">
        <w:rPr>
          <w:b/>
          <w:sz w:val="20"/>
        </w:rPr>
        <w:fldChar w:fldCharType="separate"/>
      </w:r>
      <w:r>
        <w:rPr>
          <w:b/>
          <w:noProof/>
          <w:sz w:val="20"/>
          <w:lang w:val="pt-BR"/>
        </w:rPr>
        <w:t>3</w:t>
      </w:r>
      <w:r w:rsidRPr="00F849AA">
        <w:rPr>
          <w:b/>
          <w:sz w:val="20"/>
        </w:rPr>
        <w:fldChar w:fldCharType="end"/>
      </w:r>
      <w:bookmarkEnd w:id="3"/>
      <w:bookmarkEnd w:id="4"/>
      <w:r w:rsidRPr="00F849AA">
        <w:rPr>
          <w:b/>
          <w:sz w:val="20"/>
          <w:lang w:val="pt-BR"/>
        </w:rPr>
        <w:t>- Gráfico IET e IQA</w:t>
      </w:r>
    </w:p>
    <w:p w:rsidR="00A23AA0" w:rsidRDefault="00A23AA0" w:rsidP="00A23AA0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b/>
          <w:sz w:val="20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noProof/>
          <w:szCs w:val="22"/>
          <w:lang w:val="pt-BR" w:eastAsia="pt-BR"/>
        </w:rPr>
      </w:pPr>
      <w:r>
        <w:rPr>
          <w:noProof/>
          <w:szCs w:val="22"/>
          <w:lang w:val="pt-BR" w:eastAsia="pt-BR"/>
        </w:rPr>
        <w:drawing>
          <wp:inline distT="0" distB="0" distL="0" distR="0">
            <wp:extent cx="4639817" cy="2263827"/>
            <wp:effectExtent l="12362" t="5028" r="6181" b="0"/>
            <wp:docPr id="10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3AA0" w:rsidRDefault="00A23AA0" w:rsidP="00A23AA0">
      <w:pPr>
        <w:pStyle w:val="Legenda"/>
        <w:rPr>
          <w:szCs w:val="22"/>
          <w:lang w:val="pt-BR"/>
        </w:rPr>
      </w:pPr>
      <w:bookmarkStart w:id="5" w:name="_Ref443926247"/>
      <w:r w:rsidRPr="00270B7D">
        <w:rPr>
          <w:lang w:val="pt-BR"/>
        </w:rPr>
        <w:t xml:space="preserve">Figura </w:t>
      </w:r>
      <w:r>
        <w:fldChar w:fldCharType="begin"/>
      </w:r>
      <w:r w:rsidRPr="00270B7D">
        <w:rPr>
          <w:lang w:val="pt-BR"/>
        </w:rPr>
        <w:instrText xml:space="preserve"> SEQ Figura \* ARABIC </w:instrText>
      </w:r>
      <w:r>
        <w:fldChar w:fldCharType="separate"/>
      </w:r>
      <w:r>
        <w:rPr>
          <w:noProof/>
          <w:lang w:val="pt-BR"/>
        </w:rPr>
        <w:t>4</w:t>
      </w:r>
      <w:r>
        <w:fldChar w:fldCharType="end"/>
      </w:r>
      <w:bookmarkEnd w:id="5"/>
      <w:r w:rsidRPr="00270B7D">
        <w:rPr>
          <w:lang w:val="pt-BR"/>
        </w:rPr>
        <w:t xml:space="preserve">- Volume da barragem </w:t>
      </w:r>
      <w:proofErr w:type="spellStart"/>
      <w:r w:rsidRPr="00270B7D">
        <w:rPr>
          <w:lang w:val="pt-BR"/>
        </w:rPr>
        <w:t>Jucazinho</w:t>
      </w:r>
      <w:proofErr w:type="spellEnd"/>
      <w:r w:rsidRPr="00270B7D">
        <w:rPr>
          <w:lang w:val="pt-BR"/>
        </w:rPr>
        <w:t xml:space="preserve"> em %</w:t>
      </w: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pStyle w:val="Legenda"/>
        <w:rPr>
          <w:b w:val="0"/>
          <w:noProof/>
          <w:lang w:val="pt-BR" w:eastAsia="pt-BR"/>
        </w:rPr>
      </w:pPr>
      <w:r>
        <w:rPr>
          <w:b w:val="0"/>
          <w:noProof/>
          <w:lang w:val="pt-BR" w:eastAsia="pt-BR"/>
        </w:rPr>
        <w:drawing>
          <wp:inline distT="0" distB="0" distL="0" distR="0">
            <wp:extent cx="4199003" cy="2441275"/>
            <wp:effectExtent l="19050" t="0" r="11047" b="0"/>
            <wp:docPr id="1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3AA0" w:rsidRDefault="00A23AA0" w:rsidP="00A23AA0">
      <w:pPr>
        <w:pStyle w:val="Legenda"/>
        <w:rPr>
          <w:lang w:val="pt-BR"/>
        </w:rPr>
      </w:pPr>
      <w:bookmarkStart w:id="6" w:name="_Ref456855615"/>
      <w:r w:rsidRPr="00ED1E7F">
        <w:rPr>
          <w:lang w:val="pt-BR"/>
        </w:rPr>
        <w:t xml:space="preserve">Figura </w:t>
      </w:r>
      <w:r>
        <w:fldChar w:fldCharType="begin"/>
      </w:r>
      <w:r w:rsidRPr="00ED1E7F">
        <w:rPr>
          <w:lang w:val="pt-BR"/>
        </w:rPr>
        <w:instrText xml:space="preserve"> SEQ Figura \* ARABIC </w:instrText>
      </w:r>
      <w:r>
        <w:fldChar w:fldCharType="separate"/>
      </w:r>
      <w:r>
        <w:rPr>
          <w:noProof/>
          <w:lang w:val="pt-BR"/>
        </w:rPr>
        <w:t>5</w:t>
      </w:r>
      <w:r>
        <w:fldChar w:fldCharType="end"/>
      </w:r>
      <w:bookmarkEnd w:id="6"/>
      <w:r w:rsidRPr="00ED1E7F">
        <w:rPr>
          <w:lang w:val="pt-BR"/>
        </w:rPr>
        <w:t xml:space="preserve">- Relação do IQA e </w:t>
      </w:r>
      <w:r>
        <w:rPr>
          <w:lang w:val="pt-BR"/>
        </w:rPr>
        <w:t>consumo</w:t>
      </w:r>
      <w:r w:rsidRPr="00ED1E7F">
        <w:rPr>
          <w:lang w:val="pt-BR"/>
        </w:rPr>
        <w:t xml:space="preserve"> do Cloro</w:t>
      </w: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pStyle w:val="Legenda"/>
        <w:rPr>
          <w:b w:val="0"/>
          <w:noProof/>
          <w:lang w:val="pt-BR" w:eastAsia="pt-BR"/>
        </w:rPr>
      </w:pPr>
      <w:r>
        <w:rPr>
          <w:b w:val="0"/>
          <w:noProof/>
          <w:lang w:val="pt-BR" w:eastAsia="pt-BR"/>
        </w:rPr>
        <w:drawing>
          <wp:inline distT="0" distB="0" distL="0" distR="0">
            <wp:extent cx="4115486" cy="2599635"/>
            <wp:effectExtent l="0" t="0" r="0" b="0"/>
            <wp:docPr id="13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3AA0" w:rsidRDefault="00A23AA0" w:rsidP="00A23AA0">
      <w:pPr>
        <w:pStyle w:val="Legenda"/>
        <w:rPr>
          <w:b w:val="0"/>
          <w:szCs w:val="22"/>
          <w:lang w:val="pt-BR"/>
        </w:rPr>
      </w:pPr>
      <w:bookmarkStart w:id="7" w:name="_Ref457202853"/>
      <w:r w:rsidRPr="00E56430">
        <w:rPr>
          <w:lang w:val="pt-BR"/>
        </w:rPr>
        <w:t xml:space="preserve">Figura </w:t>
      </w:r>
      <w:r>
        <w:fldChar w:fldCharType="begin"/>
      </w:r>
      <w:r w:rsidRPr="00E56430">
        <w:rPr>
          <w:lang w:val="pt-BR"/>
        </w:rPr>
        <w:instrText xml:space="preserve"> SEQ Figura \* ARABIC </w:instrText>
      </w:r>
      <w:r>
        <w:fldChar w:fldCharType="separate"/>
      </w:r>
      <w:r>
        <w:rPr>
          <w:noProof/>
          <w:lang w:val="pt-BR"/>
        </w:rPr>
        <w:t>6</w:t>
      </w:r>
      <w:r>
        <w:fldChar w:fldCharType="end"/>
      </w:r>
      <w:bookmarkEnd w:id="7"/>
      <w:r w:rsidRPr="00E56430">
        <w:rPr>
          <w:lang w:val="pt-BR"/>
        </w:rPr>
        <w:t>- IET e consum</w:t>
      </w:r>
      <w:r>
        <w:rPr>
          <w:lang w:val="pt-BR"/>
        </w:rPr>
        <w:t>o</w:t>
      </w:r>
      <w:r w:rsidRPr="00E56430">
        <w:rPr>
          <w:lang w:val="pt-BR"/>
        </w:rPr>
        <w:t xml:space="preserve"> de Cloro</w:t>
      </w: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  <w:r>
        <w:rPr>
          <w:szCs w:val="22"/>
          <w:lang w:val="pt-BR"/>
        </w:rPr>
        <w:lastRenderedPageBreak/>
        <w:t>LEGENDA DE TABELAS</w:t>
      </w:r>
    </w:p>
    <w:p w:rsidR="00A23AA0" w:rsidRPr="00772E8B" w:rsidRDefault="00A23AA0" w:rsidP="00A23AA0">
      <w:pPr>
        <w:pStyle w:val="Legenda"/>
        <w:spacing w:line="276" w:lineRule="auto"/>
        <w:jc w:val="both"/>
        <w:rPr>
          <w:i/>
          <w:iCs/>
          <w:noProof/>
          <w:color w:val="FF0000"/>
          <w:sz w:val="22"/>
          <w:szCs w:val="22"/>
          <w:lang w:val="pt-BR" w:eastAsia="pt-BR"/>
        </w:rPr>
      </w:pPr>
      <w:r w:rsidRPr="00CC005B">
        <w:rPr>
          <w:lang w:val="pt-BR"/>
        </w:rPr>
        <w:t xml:space="preserve">Tabela </w:t>
      </w:r>
      <w:r>
        <w:fldChar w:fldCharType="begin"/>
      </w:r>
      <w:r w:rsidRPr="00CC005B">
        <w:rPr>
          <w:lang w:val="pt-BR"/>
        </w:rPr>
        <w:instrText xml:space="preserve"> SEQ Tabela \* ARABIC </w:instrText>
      </w:r>
      <w:r>
        <w:fldChar w:fldCharType="separate"/>
      </w:r>
      <w:r>
        <w:rPr>
          <w:noProof/>
          <w:lang w:val="pt-BR"/>
        </w:rPr>
        <w:t>1</w:t>
      </w:r>
      <w:r>
        <w:fldChar w:fldCharType="end"/>
      </w:r>
      <w:r w:rsidRPr="00CD0144">
        <w:rPr>
          <w:lang w:val="pt-BR"/>
        </w:rPr>
        <w:t>-</w:t>
      </w:r>
      <w:r w:rsidRPr="00CC005B">
        <w:rPr>
          <w:color w:val="000000"/>
          <w:lang w:val="pt-BR"/>
        </w:rPr>
        <w:t xml:space="preserve"> IET e equivalência com medidas de fósforo total, clorofila A e transparência em </w:t>
      </w:r>
      <w:r w:rsidRPr="0095100A">
        <w:rPr>
          <w:color w:val="000000"/>
          <w:lang w:val="pt-BR"/>
        </w:rPr>
        <w:t xml:space="preserve">reservatórios. </w:t>
      </w:r>
      <w:r w:rsidRPr="0095100A">
        <w:rPr>
          <w:lang w:val="pt-BR"/>
        </w:rPr>
        <w:t xml:space="preserve">Fonte: </w:t>
      </w:r>
      <w:proofErr w:type="spellStart"/>
      <w:r w:rsidRPr="0095100A">
        <w:rPr>
          <w:lang w:val="pt-BR"/>
        </w:rPr>
        <w:t>Lamparelli</w:t>
      </w:r>
      <w:proofErr w:type="spellEnd"/>
      <w:r w:rsidRPr="0095100A">
        <w:rPr>
          <w:lang w:val="pt-BR"/>
        </w:rPr>
        <w:t>, 2004.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2156"/>
        <w:gridCol w:w="1970"/>
        <w:gridCol w:w="3868"/>
      </w:tblGrid>
      <w:tr w:rsidR="00A23AA0" w:rsidRPr="00651DF2" w:rsidTr="00CD24A3">
        <w:trPr>
          <w:trHeight w:val="580"/>
        </w:trPr>
        <w:tc>
          <w:tcPr>
            <w:tcW w:w="9778" w:type="dxa"/>
            <w:gridSpan w:val="4"/>
            <w:tcBorders>
              <w:left w:val="nil"/>
              <w:bottom w:val="nil"/>
              <w:right w:val="nil"/>
            </w:tcBorders>
          </w:tcPr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  <w:lang w:val="pt-BR"/>
              </w:rPr>
            </w:pPr>
            <w:r>
              <w:rPr>
                <w:noProof/>
                <w:color w:val="000000"/>
                <w:sz w:val="20"/>
                <w:lang w:val="pt-BR"/>
              </w:rPr>
              <w:t xml:space="preserve">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Nivel trofico         </w:t>
            </w:r>
            <w:r>
              <w:rPr>
                <w:noProof/>
                <w:color w:val="000000"/>
                <w:sz w:val="20"/>
                <w:lang w:val="pt-BR"/>
              </w:rPr>
              <w:t xml:space="preserve">    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 Fosforo total                   </w:t>
            </w:r>
            <w:r>
              <w:rPr>
                <w:noProof/>
                <w:color w:val="000000"/>
                <w:sz w:val="20"/>
                <w:lang w:val="pt-BR"/>
              </w:rPr>
              <w:t xml:space="preserve">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Clorofila </w:t>
            </w:r>
            <w:r w:rsidRPr="00651DF2">
              <w:rPr>
                <w:i/>
                <w:noProof/>
                <w:color w:val="000000"/>
                <w:sz w:val="20"/>
                <w:lang w:val="pt-BR"/>
              </w:rPr>
              <w:t xml:space="preserve">A 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        </w:t>
            </w:r>
            <w:r>
              <w:rPr>
                <w:noProof/>
                <w:color w:val="000000"/>
                <w:sz w:val="20"/>
                <w:lang w:val="pt-BR"/>
              </w:rPr>
              <w:t xml:space="preserve">     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S               </w:t>
            </w:r>
            <w:r>
              <w:rPr>
                <w:noProof/>
                <w:color w:val="000000"/>
                <w:sz w:val="20"/>
                <w:lang w:val="pt-BR"/>
              </w:rPr>
              <w:t xml:space="preserve">  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 </w:t>
            </w:r>
            <w:r>
              <w:rPr>
                <w:noProof/>
                <w:color w:val="000000"/>
                <w:sz w:val="20"/>
                <w:lang w:val="pt-BR"/>
              </w:rPr>
              <w:t xml:space="preserve">  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IET   </w:t>
            </w:r>
          </w:p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 xml:space="preserve">                               </w:t>
            </w:r>
            <w:r>
              <w:rPr>
                <w:noProof/>
                <w:color w:val="000000"/>
                <w:sz w:val="20"/>
                <w:lang w:val="pt-BR"/>
              </w:rPr>
              <w:t xml:space="preserve">           </w:t>
            </w:r>
            <w:r w:rsidRPr="00651DF2">
              <w:rPr>
                <w:noProof/>
                <w:color w:val="000000"/>
                <w:sz w:val="20"/>
                <w:lang w:val="pt-BR"/>
              </w:rPr>
              <w:t xml:space="preserve"> </w:t>
            </w:r>
            <w:r>
              <w:rPr>
                <w:noProof/>
                <w:color w:val="000000"/>
                <w:sz w:val="20"/>
                <w:lang w:val="pt-BR"/>
              </w:rPr>
              <w:t xml:space="preserve">  </w:t>
            </w:r>
            <w:r w:rsidRPr="00651DF2">
              <w:rPr>
                <w:noProof/>
                <w:color w:val="000000"/>
                <w:sz w:val="20"/>
              </w:rPr>
              <w:t xml:space="preserve">(mg.Lˉ¹)              </w:t>
            </w:r>
            <w:r>
              <w:rPr>
                <w:noProof/>
                <w:color w:val="000000"/>
                <w:sz w:val="20"/>
              </w:rPr>
              <w:t xml:space="preserve">             </w:t>
            </w:r>
            <w:r w:rsidRPr="00651DF2">
              <w:rPr>
                <w:noProof/>
                <w:color w:val="000000"/>
                <w:sz w:val="20"/>
              </w:rPr>
              <w:t xml:space="preserve">(µg.Lˉ¹)              </w:t>
            </w:r>
            <w:r>
              <w:rPr>
                <w:noProof/>
                <w:color w:val="000000"/>
                <w:sz w:val="20"/>
              </w:rPr>
              <w:t xml:space="preserve">        </w:t>
            </w:r>
            <w:r w:rsidRPr="00651DF2">
              <w:rPr>
                <w:noProof/>
                <w:color w:val="000000"/>
                <w:sz w:val="20"/>
              </w:rPr>
              <w:t>(m)</w:t>
            </w:r>
          </w:p>
        </w:tc>
      </w:tr>
      <w:tr w:rsidR="00A23AA0" w:rsidRPr="00651DF2" w:rsidTr="00CD24A3">
        <w:trPr>
          <w:trHeight w:val="1775"/>
        </w:trPr>
        <w:tc>
          <w:tcPr>
            <w:tcW w:w="1784" w:type="dxa"/>
            <w:tcBorders>
              <w:top w:val="nil"/>
              <w:left w:val="nil"/>
              <w:right w:val="nil"/>
            </w:tcBorders>
          </w:tcPr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  <w:lang w:val="pt-BR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>Ultraoligotrofico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  <w:lang w:val="pt-BR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>Oligotrofico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  <w:lang w:val="pt-BR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>Mesotrofico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  <w:lang w:val="pt-BR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>Eutrofico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  <w:lang w:val="pt-BR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>Supereutrofico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  <w:lang w:val="pt-BR"/>
              </w:rPr>
            </w:pPr>
            <w:r w:rsidRPr="00651DF2">
              <w:rPr>
                <w:noProof/>
                <w:color w:val="000000"/>
                <w:sz w:val="20"/>
                <w:lang w:val="pt-BR"/>
              </w:rPr>
              <w:t>Hipereutrofico</w:t>
            </w: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</w:tcPr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0C4651">
              <w:rPr>
                <w:noProof/>
                <w:color w:val="000000"/>
                <w:sz w:val="20"/>
                <w:lang w:val="pt-BR"/>
              </w:rPr>
              <w:t xml:space="preserve">     </w:t>
            </w:r>
            <w:r w:rsidRPr="00651DF2">
              <w:rPr>
                <w:noProof/>
                <w:color w:val="000000"/>
                <w:sz w:val="20"/>
              </w:rPr>
              <w:t>0,008 &lt; FT ≤ 0,019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≤ 0,008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 xml:space="preserve">    </w:t>
            </w:r>
            <w:r w:rsidRPr="00651DF2">
              <w:rPr>
                <w:noProof/>
                <w:color w:val="000000"/>
                <w:sz w:val="20"/>
              </w:rPr>
              <w:t>0,019 &lt; FT ≤ 0,052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 xml:space="preserve">    </w:t>
            </w:r>
            <w:r w:rsidRPr="00651DF2">
              <w:rPr>
                <w:noProof/>
                <w:color w:val="000000"/>
                <w:sz w:val="20"/>
              </w:rPr>
              <w:t>0,052 &lt; FT ≤ 0,120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 xml:space="preserve">   </w:t>
            </w:r>
            <w:r w:rsidRPr="00651DF2">
              <w:rPr>
                <w:noProof/>
                <w:color w:val="000000"/>
                <w:sz w:val="20"/>
              </w:rPr>
              <w:t>0,120 &lt; FT ≤ 0,233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&gt; 0,233</w:t>
            </w: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</w:tcPr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≤ 1,17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1,17 &lt; Cl ≤ 3,24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3,24 &lt; Cl ≤ 11,03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11,03 &lt; Cl ≤ 30,55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30,55 &lt; Cl ≤ 69,05</w:t>
            </w:r>
          </w:p>
          <w:p w:rsidR="00A23AA0" w:rsidRPr="00651DF2" w:rsidRDefault="00A23AA0" w:rsidP="00CD24A3">
            <w:pPr>
              <w:spacing w:line="276" w:lineRule="auto"/>
              <w:jc w:val="center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>&gt; 69,05</w:t>
            </w:r>
          </w:p>
        </w:tc>
        <w:tc>
          <w:tcPr>
            <w:tcW w:w="3868" w:type="dxa"/>
            <w:tcBorders>
              <w:top w:val="nil"/>
              <w:left w:val="nil"/>
              <w:right w:val="nil"/>
            </w:tcBorders>
          </w:tcPr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 xml:space="preserve">    </w:t>
            </w:r>
            <w:r>
              <w:rPr>
                <w:noProof/>
                <w:color w:val="000000"/>
                <w:sz w:val="20"/>
              </w:rPr>
              <w:t xml:space="preserve">  </w:t>
            </w:r>
            <w:r w:rsidRPr="00651DF2">
              <w:rPr>
                <w:noProof/>
                <w:color w:val="000000"/>
                <w:sz w:val="20"/>
              </w:rPr>
              <w:t xml:space="preserve">  ≥ 2,4               </w:t>
            </w:r>
            <w:r>
              <w:rPr>
                <w:noProof/>
                <w:color w:val="000000"/>
                <w:sz w:val="20"/>
              </w:rPr>
              <w:t xml:space="preserve">          </w:t>
            </w:r>
            <w:r w:rsidRPr="00651DF2">
              <w:rPr>
                <w:noProof/>
                <w:color w:val="000000"/>
                <w:sz w:val="20"/>
              </w:rPr>
              <w:t xml:space="preserve"> ≤ 47</w:t>
            </w:r>
          </w:p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 xml:space="preserve">   2,4 &gt; S ≥ 1,7       </w:t>
            </w:r>
            <w:r>
              <w:rPr>
                <w:noProof/>
                <w:color w:val="000000"/>
                <w:sz w:val="20"/>
              </w:rPr>
              <w:t xml:space="preserve">     </w:t>
            </w:r>
            <w:r w:rsidRPr="00651DF2">
              <w:rPr>
                <w:noProof/>
                <w:color w:val="000000"/>
                <w:sz w:val="20"/>
              </w:rPr>
              <w:t>47 &lt; IET ≤ 52</w:t>
            </w:r>
          </w:p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 xml:space="preserve">   1,7 &gt; S ≥ 1,1       </w:t>
            </w:r>
            <w:r>
              <w:rPr>
                <w:noProof/>
                <w:color w:val="000000"/>
                <w:sz w:val="20"/>
              </w:rPr>
              <w:t xml:space="preserve">     </w:t>
            </w:r>
            <w:r w:rsidRPr="00651DF2">
              <w:rPr>
                <w:noProof/>
                <w:color w:val="000000"/>
                <w:sz w:val="20"/>
              </w:rPr>
              <w:t>52 &lt; IET ≤ 59</w:t>
            </w:r>
          </w:p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 xml:space="preserve">   1,1 &gt; S ≥ 0,8    </w:t>
            </w:r>
            <w:r>
              <w:rPr>
                <w:noProof/>
                <w:color w:val="000000"/>
                <w:sz w:val="20"/>
              </w:rPr>
              <w:t xml:space="preserve">    </w:t>
            </w:r>
            <w:r w:rsidRPr="00651DF2">
              <w:rPr>
                <w:noProof/>
                <w:color w:val="000000"/>
                <w:sz w:val="20"/>
              </w:rPr>
              <w:t xml:space="preserve">   59 &lt; IET ≤ 63</w:t>
            </w:r>
          </w:p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 xml:space="preserve">   0,8 &gt; S ≥ 0,6     </w:t>
            </w:r>
            <w:r>
              <w:rPr>
                <w:noProof/>
                <w:color w:val="000000"/>
                <w:sz w:val="20"/>
              </w:rPr>
              <w:t xml:space="preserve">    </w:t>
            </w:r>
            <w:r w:rsidRPr="00651DF2">
              <w:rPr>
                <w:noProof/>
                <w:color w:val="000000"/>
                <w:sz w:val="20"/>
              </w:rPr>
              <w:t xml:space="preserve">  63 &lt; IET ≤ 67</w:t>
            </w:r>
          </w:p>
          <w:p w:rsidR="00A23AA0" w:rsidRPr="00651DF2" w:rsidRDefault="00A23AA0" w:rsidP="00CD24A3">
            <w:pPr>
              <w:spacing w:line="276" w:lineRule="auto"/>
              <w:rPr>
                <w:noProof/>
                <w:color w:val="000000"/>
                <w:sz w:val="20"/>
              </w:rPr>
            </w:pPr>
            <w:r w:rsidRPr="00651DF2">
              <w:rPr>
                <w:noProof/>
                <w:color w:val="000000"/>
                <w:sz w:val="20"/>
              </w:rPr>
              <w:t xml:space="preserve">      &lt; 0,6             </w:t>
            </w:r>
            <w:r>
              <w:rPr>
                <w:noProof/>
                <w:color w:val="000000"/>
                <w:sz w:val="20"/>
              </w:rPr>
              <w:t xml:space="preserve">          </w:t>
            </w:r>
            <w:r w:rsidRPr="00651DF2">
              <w:rPr>
                <w:noProof/>
                <w:color w:val="000000"/>
                <w:sz w:val="20"/>
              </w:rPr>
              <w:t xml:space="preserve">  &gt; 67</w:t>
            </w:r>
          </w:p>
        </w:tc>
      </w:tr>
    </w:tbl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pStyle w:val="Legenda"/>
        <w:spacing w:line="276" w:lineRule="auto"/>
        <w:rPr>
          <w:lang w:val="pt-BR"/>
        </w:rPr>
      </w:pPr>
    </w:p>
    <w:p w:rsidR="00A23AA0" w:rsidRDefault="00A23AA0" w:rsidP="00A23AA0">
      <w:pPr>
        <w:pStyle w:val="Legenda"/>
        <w:spacing w:line="276" w:lineRule="auto"/>
        <w:rPr>
          <w:lang w:val="pt-BR"/>
        </w:rPr>
      </w:pPr>
    </w:p>
    <w:p w:rsidR="00A23AA0" w:rsidRDefault="00A23AA0" w:rsidP="00A23AA0">
      <w:pPr>
        <w:pStyle w:val="Legenda"/>
        <w:spacing w:line="276" w:lineRule="auto"/>
        <w:rPr>
          <w:lang w:val="pt-BR"/>
        </w:rPr>
      </w:pPr>
    </w:p>
    <w:p w:rsidR="00A23AA0" w:rsidRPr="00772E8B" w:rsidRDefault="00A23AA0" w:rsidP="00A23AA0">
      <w:pPr>
        <w:pStyle w:val="Legenda"/>
        <w:spacing w:line="276" w:lineRule="auto"/>
        <w:rPr>
          <w:lang w:val="pt-BR"/>
        </w:rPr>
      </w:pPr>
      <w:r w:rsidRPr="008C0DAF">
        <w:rPr>
          <w:lang w:val="pt-BR"/>
        </w:rPr>
        <w:t xml:space="preserve">Tabela </w:t>
      </w:r>
      <w:r>
        <w:fldChar w:fldCharType="begin"/>
      </w:r>
      <w:r w:rsidRPr="008C0DAF">
        <w:rPr>
          <w:lang w:val="pt-BR"/>
        </w:rPr>
        <w:instrText xml:space="preserve"> SEQ Tabela \* ARABIC </w:instrText>
      </w:r>
      <w:r>
        <w:fldChar w:fldCharType="separate"/>
      </w:r>
      <w:r>
        <w:rPr>
          <w:noProof/>
          <w:lang w:val="pt-BR"/>
        </w:rPr>
        <w:t>2</w:t>
      </w:r>
      <w:r>
        <w:fldChar w:fldCharType="end"/>
      </w:r>
      <w:r w:rsidRPr="008C0DAF">
        <w:rPr>
          <w:lang w:val="pt-BR"/>
        </w:rPr>
        <w:t xml:space="preserve">- Valores de referência do Índice de Qualidade da </w:t>
      </w:r>
      <w:proofErr w:type="spellStart"/>
      <w:r w:rsidRPr="008C0DAF">
        <w:rPr>
          <w:lang w:val="pt-BR"/>
        </w:rPr>
        <w:t>Água-IQA</w:t>
      </w:r>
      <w:proofErr w:type="spellEnd"/>
      <w:r>
        <w:rPr>
          <w:lang w:val="pt-BR"/>
        </w:rPr>
        <w:t>. Fonte: CETESB, 1975.</w:t>
      </w:r>
    </w:p>
    <w:tbl>
      <w:tblPr>
        <w:tblpPr w:leftFromText="141" w:rightFromText="141" w:vertAnchor="text" w:horzAnchor="margin" w:tblpXSpec="center" w:tblpY="8"/>
        <w:tblW w:w="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737"/>
      </w:tblGrid>
      <w:tr w:rsidR="00A23AA0" w:rsidRPr="00A23AA0" w:rsidTr="00CD24A3">
        <w:trPr>
          <w:trHeight w:val="2317"/>
        </w:trPr>
        <w:tc>
          <w:tcPr>
            <w:tcW w:w="2943" w:type="dxa"/>
            <w:tcBorders>
              <w:left w:val="nil"/>
              <w:right w:val="single" w:sz="4" w:space="0" w:color="FFFFFF" w:themeColor="background1"/>
            </w:tcBorders>
            <w:hideMark/>
          </w:tcPr>
          <w:p w:rsidR="00A23AA0" w:rsidRPr="00CC005B" w:rsidRDefault="00A23AA0" w:rsidP="00CD24A3">
            <w:pPr>
              <w:suppressAutoHyphens w:val="0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Valor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80-100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52-79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37-51</w:t>
            </w:r>
          </w:p>
          <w:p w:rsidR="00A23AA0" w:rsidRPr="00CC005B" w:rsidRDefault="00A23AA0" w:rsidP="00CD24A3">
            <w:pPr>
              <w:suppressAutoHyphens w:val="0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20-36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0-19</w:t>
            </w:r>
          </w:p>
        </w:tc>
        <w:tc>
          <w:tcPr>
            <w:tcW w:w="2737" w:type="dxa"/>
            <w:tcBorders>
              <w:left w:val="single" w:sz="4" w:space="0" w:color="FFFFFF" w:themeColor="background1"/>
              <w:right w:val="nil"/>
            </w:tcBorders>
            <w:hideMark/>
          </w:tcPr>
          <w:p w:rsidR="00A23AA0" w:rsidRPr="00CC005B" w:rsidRDefault="00A23AA0" w:rsidP="00CD24A3">
            <w:pPr>
              <w:suppressAutoHyphens w:val="0"/>
              <w:spacing w:before="0" w:after="0" w:line="276" w:lineRule="auto"/>
              <w:ind w:left="-98" w:firstLine="98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Qualificação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Ótima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Boa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Aceitável</w:t>
            </w:r>
          </w:p>
          <w:p w:rsidR="00A23AA0" w:rsidRPr="00CC005B" w:rsidRDefault="00A23AA0" w:rsidP="00CD24A3">
            <w:pPr>
              <w:suppressAutoHyphens w:val="0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Ruim</w:t>
            </w:r>
          </w:p>
          <w:p w:rsidR="00A23AA0" w:rsidRPr="00CC005B" w:rsidRDefault="00A23AA0" w:rsidP="00CD24A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lang w:val="pt-BR" w:eastAsia="pt-BR"/>
              </w:rPr>
            </w:pPr>
            <w:r w:rsidRPr="00CC005B">
              <w:rPr>
                <w:b/>
                <w:bCs/>
                <w:color w:val="000000"/>
                <w:sz w:val="20"/>
                <w:lang w:val="pt-BR" w:eastAsia="pt-BR"/>
              </w:rPr>
              <w:t>Péssima</w:t>
            </w:r>
          </w:p>
        </w:tc>
      </w:tr>
    </w:tbl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Default="00A23AA0" w:rsidP="00A23AA0">
      <w:pPr>
        <w:spacing w:before="0" w:after="0" w:line="276" w:lineRule="auto"/>
        <w:jc w:val="left"/>
        <w:rPr>
          <w:szCs w:val="22"/>
          <w:lang w:val="pt-BR"/>
        </w:rPr>
      </w:pPr>
    </w:p>
    <w:p w:rsidR="00A23AA0" w:rsidRPr="00512BE9" w:rsidRDefault="00A23AA0" w:rsidP="00A23AA0">
      <w:pPr>
        <w:shd w:val="clear" w:color="auto" w:fill="FFFFFF"/>
        <w:spacing w:after="0"/>
        <w:rPr>
          <w:lang w:val="pt-BR" w:eastAsia="pt-BR"/>
        </w:rPr>
      </w:pPr>
    </w:p>
    <w:p w:rsidR="005F5C7F" w:rsidRPr="00A23AA0" w:rsidRDefault="005F5C7F">
      <w:pPr>
        <w:rPr>
          <w:lang w:val="pt-BR"/>
        </w:rPr>
      </w:pPr>
    </w:p>
    <w:sectPr w:rsidR="005F5C7F" w:rsidRPr="00A23AA0" w:rsidSect="00A23AA0">
      <w:footerReference w:type="even" r:id="rId11"/>
      <w:footerReference w:type="default" r:id="rId12"/>
      <w:pgSz w:w="11906" w:h="16838" w:code="9"/>
      <w:pgMar w:top="1418" w:right="1134" w:bottom="1134" w:left="1134" w:header="720" w:footer="720" w:gutter="0"/>
      <w:lnNumType w:countBy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40" w:rsidRDefault="00A23A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16</w:t>
    </w:r>
    <w:r>
      <w:rPr>
        <w:rStyle w:val="Nmerodepgina"/>
      </w:rPr>
      <w:fldChar w:fldCharType="end"/>
    </w:r>
  </w:p>
  <w:p w:rsidR="00CD1A40" w:rsidRDefault="00A23AA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A40" w:rsidRDefault="00A23A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D1A40" w:rsidRDefault="00A23AA0">
    <w:pPr>
      <w:pStyle w:val="Rodap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A23AA0"/>
    <w:rsid w:val="005F5C7F"/>
    <w:rsid w:val="00A2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A0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3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3AA0"/>
    <w:rPr>
      <w:rFonts w:ascii="Times New Roman" w:eastAsia="Times New Roman" w:hAnsi="Times New Roman" w:cs="Times New Roman"/>
      <w:szCs w:val="20"/>
      <w:lang w:val="en-US" w:eastAsia="ar-SA"/>
    </w:rPr>
  </w:style>
  <w:style w:type="character" w:styleId="Nmerodepgina">
    <w:name w:val="page number"/>
    <w:basedOn w:val="Fontepargpadro"/>
    <w:rsid w:val="00A23AA0"/>
  </w:style>
  <w:style w:type="paragraph" w:styleId="Legenda">
    <w:name w:val="caption"/>
    <w:basedOn w:val="Normal"/>
    <w:link w:val="LegendaChar"/>
    <w:qFormat/>
    <w:rsid w:val="00A23AA0"/>
    <w:pPr>
      <w:suppressLineNumbers/>
      <w:jc w:val="center"/>
    </w:pPr>
    <w:rPr>
      <w:b/>
      <w:bCs/>
      <w:sz w:val="20"/>
    </w:rPr>
  </w:style>
  <w:style w:type="character" w:customStyle="1" w:styleId="LegendaChar">
    <w:name w:val="Legenda Char"/>
    <w:link w:val="Legenda"/>
    <w:rsid w:val="00A23AA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A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AA0"/>
    <w:rPr>
      <w:rFonts w:ascii="Tahoma" w:eastAsia="Times New Roman" w:hAnsi="Tahoma" w:cs="Tahoma"/>
      <w:sz w:val="16"/>
      <w:szCs w:val="16"/>
      <w:lang w:val="en-US" w:eastAsia="ar-SA"/>
    </w:rPr>
  </w:style>
  <w:style w:type="character" w:styleId="Nmerodelinha">
    <w:name w:val="line number"/>
    <w:basedOn w:val="Fontepargpadro"/>
    <w:uiPriority w:val="99"/>
    <w:semiHidden/>
    <w:unhideWhenUsed/>
    <w:rsid w:val="00A23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image" Target="media/image2.jpeg"/><Relationship Id="rId10" Type="http://schemas.openxmlformats.org/officeDocument/2006/relationships/chart" Target="charts/chart5.xml"/><Relationship Id="rId4" Type="http://schemas.openxmlformats.org/officeDocument/2006/relationships/image" Target="media/image1.jpeg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pibic%202016\pRODUTO%20QU&#205;MICO%20JUCAZINHO%20(Salvo%20automaticamente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F:\pibic%202016\pRODUTO%20QU&#205;MICO%20JUCAZINHO%20(Salvo%20automaticamente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volum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ibic%202016\pRODUTO%20QU&#205;MICO%20JUCAZINHO%20(Salvo%20automaticamente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ibic%202016\pRODUTO%20QU&#205;MICO%20JUCAZINHO%20(Salvo%20automaticamente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/>
            </a:pPr>
            <a:r>
              <a:rPr lang="en-US" sz="1000"/>
              <a:t>IET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Plan3!$G$1</c:f>
              <c:strCache>
                <c:ptCount val="1"/>
                <c:pt idx="0">
                  <c:v>IET</c:v>
                </c:pt>
              </c:strCache>
            </c:strRef>
          </c:tx>
          <c:spPr>
            <a:ln w="19050"/>
          </c:spPr>
          <c:marker>
            <c:symbol val="circle"/>
            <c:size val="5"/>
          </c:marker>
          <c:cat>
            <c:numRef>
              <c:f>Plan3!$B$2:$B$12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Plan3!$G$2:$G$12</c:f>
              <c:numCache>
                <c:formatCode>General</c:formatCode>
                <c:ptCount val="11"/>
                <c:pt idx="0">
                  <c:v>59</c:v>
                </c:pt>
                <c:pt idx="1">
                  <c:v>60</c:v>
                </c:pt>
                <c:pt idx="2">
                  <c:v>59</c:v>
                </c:pt>
                <c:pt idx="3">
                  <c:v>64</c:v>
                </c:pt>
                <c:pt idx="4">
                  <c:v>65</c:v>
                </c:pt>
                <c:pt idx="5">
                  <c:v>65</c:v>
                </c:pt>
                <c:pt idx="6">
                  <c:v>65</c:v>
                </c:pt>
                <c:pt idx="7">
                  <c:v>65</c:v>
                </c:pt>
                <c:pt idx="8">
                  <c:v>65</c:v>
                </c:pt>
                <c:pt idx="9">
                  <c:v>62</c:v>
                </c:pt>
                <c:pt idx="10">
                  <c:v>64</c:v>
                </c:pt>
              </c:numCache>
            </c:numRef>
          </c:val>
        </c:ser>
        <c:marker val="1"/>
        <c:axId val="96383744"/>
        <c:axId val="96385280"/>
      </c:lineChart>
      <c:catAx>
        <c:axId val="963837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96385280"/>
        <c:crosses val="autoZero"/>
        <c:auto val="1"/>
        <c:lblAlgn val="ctr"/>
        <c:lblOffset val="100"/>
      </c:catAx>
      <c:valAx>
        <c:axId val="96385280"/>
        <c:scaling>
          <c:orientation val="minMax"/>
          <c:min val="57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pt-BR"/>
          </a:p>
        </c:txPr>
        <c:crossAx val="96383744"/>
        <c:crosses val="autoZero"/>
        <c:crossBetween val="between"/>
        <c:majorUnit val="2"/>
      </c:valAx>
    </c:plotArea>
    <c:plotVisOnly val="1"/>
    <c:dispBlanksAs val="gap"/>
  </c:chart>
  <c:spPr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/>
            </a:pPr>
            <a:r>
              <a:rPr lang="en-US" sz="1000"/>
              <a:t>IQA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Plan3!$F$1</c:f>
              <c:strCache>
                <c:ptCount val="1"/>
                <c:pt idx="0">
                  <c:v>IQA</c:v>
                </c:pt>
              </c:strCache>
            </c:strRef>
          </c:tx>
          <c:spPr>
            <a:ln w="19050"/>
          </c:spPr>
          <c:marker>
            <c:symbol val="circle"/>
            <c:size val="4"/>
          </c:marker>
          <c:cat>
            <c:numRef>
              <c:f>Plan3!$B$2:$B$12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Plan3!$F$2:$F$12</c:f>
              <c:numCache>
                <c:formatCode>General</c:formatCode>
                <c:ptCount val="11"/>
                <c:pt idx="0">
                  <c:v>65</c:v>
                </c:pt>
                <c:pt idx="1">
                  <c:v>71</c:v>
                </c:pt>
                <c:pt idx="2">
                  <c:v>78</c:v>
                </c:pt>
                <c:pt idx="3">
                  <c:v>69</c:v>
                </c:pt>
                <c:pt idx="4">
                  <c:v>67</c:v>
                </c:pt>
                <c:pt idx="5">
                  <c:v>73</c:v>
                </c:pt>
                <c:pt idx="6">
                  <c:v>67</c:v>
                </c:pt>
                <c:pt idx="7">
                  <c:v>71</c:v>
                </c:pt>
                <c:pt idx="8">
                  <c:v>76</c:v>
                </c:pt>
                <c:pt idx="9">
                  <c:v>65</c:v>
                </c:pt>
                <c:pt idx="10">
                  <c:v>61</c:v>
                </c:pt>
              </c:numCache>
            </c:numRef>
          </c:val>
        </c:ser>
        <c:marker val="1"/>
        <c:axId val="96421376"/>
        <c:axId val="96422912"/>
      </c:lineChart>
      <c:catAx>
        <c:axId val="964213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96422912"/>
        <c:crosses val="autoZero"/>
        <c:auto val="1"/>
        <c:lblAlgn val="ctr"/>
        <c:lblOffset val="100"/>
      </c:catAx>
      <c:valAx>
        <c:axId val="96422912"/>
        <c:scaling>
          <c:orientation val="minMax"/>
          <c:max val="82"/>
          <c:min val="52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pt-BR"/>
          </a:p>
        </c:txPr>
        <c:crossAx val="96421376"/>
        <c:crosses val="autoZero"/>
        <c:crossBetween val="between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>
        <c:manualLayout>
          <c:layoutTarget val="inner"/>
          <c:xMode val="edge"/>
          <c:yMode val="edge"/>
          <c:x val="0.18880555555555556"/>
          <c:y val="0.15607283464566929"/>
          <c:w val="0.7013333333333337"/>
          <c:h val="0.53303222513852433"/>
        </c:manualLayout>
      </c:layout>
      <c:lineChart>
        <c:grouping val="standard"/>
        <c:ser>
          <c:idx val="0"/>
          <c:order val="0"/>
          <c:tx>
            <c:v>volume da barragem</c:v>
          </c:tx>
          <c:marker>
            <c:symbol val="none"/>
          </c:marker>
          <c:cat>
            <c:numRef>
              <c:f>Plan3!$B$4:$B$22</c:f>
              <c:numCache>
                <c:formatCode>[$-416]mmmm\-yy;@</c:formatCode>
                <c:ptCount val="19"/>
                <c:pt idx="0">
                  <c:v>40238</c:v>
                </c:pt>
                <c:pt idx="1">
                  <c:v>40299</c:v>
                </c:pt>
                <c:pt idx="2">
                  <c:v>40360</c:v>
                </c:pt>
                <c:pt idx="3">
                  <c:v>40422</c:v>
                </c:pt>
                <c:pt idx="4">
                  <c:v>40483</c:v>
                </c:pt>
                <c:pt idx="5">
                  <c:v>40544</c:v>
                </c:pt>
                <c:pt idx="6">
                  <c:v>40603</c:v>
                </c:pt>
                <c:pt idx="7">
                  <c:v>40664</c:v>
                </c:pt>
                <c:pt idx="8">
                  <c:v>40878</c:v>
                </c:pt>
                <c:pt idx="9">
                  <c:v>41122</c:v>
                </c:pt>
                <c:pt idx="10">
                  <c:v>41214</c:v>
                </c:pt>
                <c:pt idx="11">
                  <c:v>41306</c:v>
                </c:pt>
                <c:pt idx="12">
                  <c:v>41395</c:v>
                </c:pt>
                <c:pt idx="13">
                  <c:v>41487</c:v>
                </c:pt>
                <c:pt idx="14">
                  <c:v>41699</c:v>
                </c:pt>
                <c:pt idx="15">
                  <c:v>41760</c:v>
                </c:pt>
                <c:pt idx="16">
                  <c:v>41913</c:v>
                </c:pt>
                <c:pt idx="17">
                  <c:v>42036</c:v>
                </c:pt>
                <c:pt idx="18">
                  <c:v>42125</c:v>
                </c:pt>
              </c:numCache>
            </c:numRef>
          </c:cat>
          <c:val>
            <c:numRef>
              <c:f>Plan3!$C$4:$C$22</c:f>
              <c:numCache>
                <c:formatCode>0.00</c:formatCode>
                <c:ptCount val="19"/>
                <c:pt idx="0">
                  <c:v>86.88</c:v>
                </c:pt>
                <c:pt idx="1">
                  <c:v>85.7</c:v>
                </c:pt>
                <c:pt idx="2">
                  <c:v>100.49000000000002</c:v>
                </c:pt>
                <c:pt idx="3">
                  <c:v>98.56</c:v>
                </c:pt>
                <c:pt idx="4">
                  <c:v>90.669999999999987</c:v>
                </c:pt>
                <c:pt idx="5">
                  <c:v>90.669999999999987</c:v>
                </c:pt>
                <c:pt idx="6">
                  <c:v>89.25</c:v>
                </c:pt>
                <c:pt idx="7">
                  <c:v>100.54</c:v>
                </c:pt>
                <c:pt idx="8">
                  <c:v>93.14</c:v>
                </c:pt>
                <c:pt idx="9">
                  <c:v>70.86999999999999</c:v>
                </c:pt>
                <c:pt idx="10">
                  <c:v>63.4</c:v>
                </c:pt>
                <c:pt idx="11">
                  <c:v>55.52</c:v>
                </c:pt>
                <c:pt idx="12">
                  <c:v>49.309999999999995</c:v>
                </c:pt>
                <c:pt idx="13">
                  <c:v>43.47</c:v>
                </c:pt>
                <c:pt idx="14">
                  <c:v>28.6</c:v>
                </c:pt>
                <c:pt idx="15">
                  <c:v>27.35</c:v>
                </c:pt>
                <c:pt idx="16">
                  <c:v>18.22</c:v>
                </c:pt>
                <c:pt idx="17">
                  <c:v>11.49</c:v>
                </c:pt>
                <c:pt idx="18">
                  <c:v>6.08</c:v>
                </c:pt>
              </c:numCache>
            </c:numRef>
          </c:val>
        </c:ser>
        <c:marker val="1"/>
        <c:axId val="96454912"/>
        <c:axId val="96481280"/>
      </c:lineChart>
      <c:dateAx>
        <c:axId val="96454912"/>
        <c:scaling>
          <c:orientation val="minMax"/>
        </c:scaling>
        <c:axPos val="b"/>
        <c:numFmt formatCode="[$-416]mmmm\-yy;@" sourceLinked="1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96481280"/>
        <c:crosses val="autoZero"/>
        <c:auto val="1"/>
        <c:lblOffset val="100"/>
        <c:baseTimeUnit val="months"/>
      </c:dateAx>
      <c:valAx>
        <c:axId val="964812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Volume da barragem em %</a:t>
                </a:r>
              </a:p>
            </c:rich>
          </c:tx>
          <c:layout>
            <c:manualLayout>
              <c:xMode val="edge"/>
              <c:yMode val="edge"/>
              <c:x val="3.0555555555555582E-2"/>
              <c:y val="0.17194444444444595"/>
            </c:manualLayout>
          </c:layout>
        </c:title>
        <c:numFmt formatCode="0.00" sourceLinked="1"/>
        <c:tickLblPos val="nextTo"/>
        <c:crossAx val="964549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/>
            </a:pPr>
            <a:r>
              <a:rPr lang="pt-BR"/>
              <a:t>IQA e Consumo  de Cloro</a:t>
            </a:r>
          </a:p>
        </c:rich>
      </c:tx>
      <c:layout/>
    </c:title>
    <c:plotArea>
      <c:layout/>
      <c:lineChart>
        <c:grouping val="standard"/>
        <c:ser>
          <c:idx val="1"/>
          <c:order val="1"/>
          <c:tx>
            <c:strRef>
              <c:f>Plan3!$D$1</c:f>
              <c:strCache>
                <c:ptCount val="1"/>
                <c:pt idx="0">
                  <c:v>Cloro gasoso 900</c:v>
                </c:pt>
              </c:strCache>
            </c:strRef>
          </c:tx>
          <c:marker>
            <c:symbol val="circle"/>
            <c:size val="7"/>
          </c:marker>
          <c:cat>
            <c:numRef>
              <c:f>Plan3!$B$2:$B$7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Plan3!$D$2:$D$7</c:f>
              <c:numCache>
                <c:formatCode>#,##0</c:formatCode>
                <c:ptCount val="6"/>
                <c:pt idx="0">
                  <c:v>68440</c:v>
                </c:pt>
                <c:pt idx="1">
                  <c:v>76900</c:v>
                </c:pt>
                <c:pt idx="2">
                  <c:v>78981</c:v>
                </c:pt>
                <c:pt idx="3">
                  <c:v>79600</c:v>
                </c:pt>
                <c:pt idx="4">
                  <c:v>100550</c:v>
                </c:pt>
                <c:pt idx="5">
                  <c:v>62100</c:v>
                </c:pt>
              </c:numCache>
            </c:numRef>
          </c:val>
        </c:ser>
        <c:marker val="1"/>
        <c:axId val="96552064"/>
        <c:axId val="96553600"/>
      </c:lineChart>
      <c:lineChart>
        <c:grouping val="standard"/>
        <c:ser>
          <c:idx val="0"/>
          <c:order val="0"/>
          <c:tx>
            <c:strRef>
              <c:f>Plan3!$F$1</c:f>
              <c:strCache>
                <c:ptCount val="1"/>
                <c:pt idx="0">
                  <c:v>IQA</c:v>
                </c:pt>
              </c:strCache>
            </c:strRef>
          </c:tx>
          <c:cat>
            <c:numRef>
              <c:f>Plan3!$B$2:$B$7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Plan3!$F$2:$F$7</c:f>
              <c:numCache>
                <c:formatCode>General</c:formatCode>
                <c:ptCount val="6"/>
                <c:pt idx="0">
                  <c:v>67</c:v>
                </c:pt>
                <c:pt idx="1">
                  <c:v>73</c:v>
                </c:pt>
                <c:pt idx="2">
                  <c:v>67</c:v>
                </c:pt>
                <c:pt idx="3">
                  <c:v>71</c:v>
                </c:pt>
                <c:pt idx="4">
                  <c:v>76</c:v>
                </c:pt>
                <c:pt idx="5">
                  <c:v>65</c:v>
                </c:pt>
              </c:numCache>
            </c:numRef>
          </c:val>
        </c:ser>
        <c:marker val="1"/>
        <c:axId val="96582272"/>
        <c:axId val="96580352"/>
      </c:lineChart>
      <c:catAx>
        <c:axId val="96552064"/>
        <c:scaling>
          <c:orientation val="minMax"/>
        </c:scaling>
        <c:axPos val="b"/>
        <c:numFmt formatCode="General" sourceLinked="1"/>
        <c:majorTickMark val="none"/>
        <c:tickLblPos val="nextTo"/>
        <c:crossAx val="96553600"/>
        <c:crosses val="autoZero"/>
        <c:auto val="1"/>
        <c:lblAlgn val="ctr"/>
        <c:lblOffset val="100"/>
      </c:catAx>
      <c:valAx>
        <c:axId val="965536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 Média anual de Cloro kg/m³</a:t>
                </a:r>
              </a:p>
            </c:rich>
          </c:tx>
          <c:layout/>
        </c:title>
        <c:numFmt formatCode="#,##0" sourceLinked="1"/>
        <c:majorTickMark val="none"/>
        <c:tickLblPos val="nextTo"/>
        <c:spPr>
          <a:ln w="9525">
            <a:noFill/>
          </a:ln>
        </c:spPr>
        <c:crossAx val="96552064"/>
        <c:crosses val="autoZero"/>
        <c:crossBetween val="between"/>
      </c:valAx>
      <c:valAx>
        <c:axId val="96580352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IQA</a:t>
                </a:r>
              </a:p>
            </c:rich>
          </c:tx>
          <c:layout/>
        </c:title>
        <c:numFmt formatCode="General" sourceLinked="1"/>
        <c:tickLblPos val="nextTo"/>
        <c:crossAx val="96582272"/>
        <c:crosses val="max"/>
        <c:crossBetween val="between"/>
      </c:valAx>
      <c:catAx>
        <c:axId val="96582272"/>
        <c:scaling>
          <c:orientation val="minMax"/>
        </c:scaling>
        <c:delete val="1"/>
        <c:axPos val="b"/>
        <c:numFmt formatCode="General" sourceLinked="1"/>
        <c:tickLblPos val="none"/>
        <c:crossAx val="96580352"/>
        <c:crosses val="autoZero"/>
        <c:auto val="1"/>
        <c:lblAlgn val="ctr"/>
        <c:lblOffset val="100"/>
      </c:catAx>
    </c:plotArea>
    <c:legend>
      <c:legendPos val="b"/>
      <c:layout/>
    </c:legend>
    <c:plotVisOnly val="1"/>
    <c:dispBlanksAs val="gap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/>
            </a:pPr>
            <a:r>
              <a:rPr lang="pt-BR"/>
              <a:t>IET e Consumo</a:t>
            </a:r>
            <a:r>
              <a:rPr lang="pt-BR" baseline="0"/>
              <a:t> de Cloro</a:t>
            </a:r>
            <a:endParaRPr lang="pt-BR"/>
          </a:p>
        </c:rich>
      </c:tx>
      <c:layout/>
    </c:title>
    <c:plotArea>
      <c:layout/>
      <c:lineChart>
        <c:grouping val="standard"/>
        <c:ser>
          <c:idx val="1"/>
          <c:order val="0"/>
          <c:tx>
            <c:strRef>
              <c:f>Plan3!$D$1</c:f>
              <c:strCache>
                <c:ptCount val="1"/>
                <c:pt idx="0">
                  <c:v>Cloro gasoso 900</c:v>
                </c:pt>
              </c:strCache>
            </c:strRef>
          </c:tx>
          <c:cat>
            <c:numRef>
              <c:f>Plan3!$B$2:$B$7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Plan3!$D$2:$D$7</c:f>
              <c:numCache>
                <c:formatCode>#,##0</c:formatCode>
                <c:ptCount val="6"/>
                <c:pt idx="0">
                  <c:v>68440</c:v>
                </c:pt>
                <c:pt idx="1">
                  <c:v>76900</c:v>
                </c:pt>
                <c:pt idx="2">
                  <c:v>78981</c:v>
                </c:pt>
                <c:pt idx="3">
                  <c:v>79600</c:v>
                </c:pt>
                <c:pt idx="4">
                  <c:v>100550</c:v>
                </c:pt>
                <c:pt idx="5">
                  <c:v>62100</c:v>
                </c:pt>
              </c:numCache>
            </c:numRef>
          </c:val>
        </c:ser>
        <c:marker val="1"/>
        <c:axId val="96616832"/>
        <c:axId val="96618368"/>
      </c:lineChart>
      <c:lineChart>
        <c:grouping val="standard"/>
        <c:ser>
          <c:idx val="0"/>
          <c:order val="1"/>
          <c:tx>
            <c:strRef>
              <c:f>Plan3!$G$1</c:f>
              <c:strCache>
                <c:ptCount val="1"/>
                <c:pt idx="0">
                  <c:v>IET</c:v>
                </c:pt>
              </c:strCache>
            </c:strRef>
          </c:tx>
          <c:cat>
            <c:numRef>
              <c:f>Plan3!$B$2:$B$7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Plan3!$G$2:$G$7</c:f>
              <c:numCache>
                <c:formatCode>General</c:formatCode>
                <c:ptCount val="6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3">
                  <c:v>65</c:v>
                </c:pt>
                <c:pt idx="4">
                  <c:v>65</c:v>
                </c:pt>
                <c:pt idx="5">
                  <c:v>62</c:v>
                </c:pt>
              </c:numCache>
            </c:numRef>
          </c:val>
        </c:ser>
        <c:marker val="1"/>
        <c:axId val="96647040"/>
        <c:axId val="96645120"/>
      </c:lineChart>
      <c:catAx>
        <c:axId val="96616832"/>
        <c:scaling>
          <c:orientation val="minMax"/>
        </c:scaling>
        <c:axPos val="b"/>
        <c:numFmt formatCode="General" sourceLinked="1"/>
        <c:majorTickMark val="none"/>
        <c:tickLblPos val="nextTo"/>
        <c:crossAx val="96618368"/>
        <c:crosses val="autoZero"/>
        <c:auto val="1"/>
        <c:lblAlgn val="ctr"/>
        <c:lblOffset val="100"/>
      </c:catAx>
      <c:valAx>
        <c:axId val="966183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pt-BR" sz="900" b="1" i="0" baseline="0"/>
                  <a:t> Média anual de Cloro kg/m³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pt-BR"/>
              </a:p>
            </c:rich>
          </c:tx>
          <c:layout>
            <c:manualLayout>
              <c:xMode val="edge"/>
              <c:yMode val="edge"/>
              <c:x val="3.333333333333334E-2"/>
              <c:y val="0.19390237678623587"/>
            </c:manualLayout>
          </c:layout>
        </c:title>
        <c:numFmt formatCode="#,##0" sourceLinked="1"/>
        <c:majorTickMark val="none"/>
        <c:tickLblPos val="nextTo"/>
        <c:spPr>
          <a:ln w="9525">
            <a:noFill/>
          </a:ln>
        </c:spPr>
        <c:crossAx val="96616832"/>
        <c:crosses val="autoZero"/>
        <c:crossBetween val="between"/>
      </c:valAx>
      <c:valAx>
        <c:axId val="96645120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IET</a:t>
                </a:r>
              </a:p>
            </c:rich>
          </c:tx>
          <c:layout/>
        </c:title>
        <c:numFmt formatCode="General" sourceLinked="1"/>
        <c:tickLblPos val="nextTo"/>
        <c:crossAx val="96647040"/>
        <c:crosses val="max"/>
        <c:crossBetween val="between"/>
      </c:valAx>
      <c:catAx>
        <c:axId val="96647040"/>
        <c:scaling>
          <c:orientation val="minMax"/>
        </c:scaling>
        <c:delete val="1"/>
        <c:axPos val="b"/>
        <c:numFmt formatCode="General" sourceLinked="1"/>
        <c:tickLblPos val="none"/>
        <c:crossAx val="96645120"/>
        <c:crosses val="autoZero"/>
        <c:auto val="1"/>
        <c:lblAlgn val="ctr"/>
        <c:lblOffset val="100"/>
      </c:catAx>
    </c:plotArea>
    <c:legend>
      <c:legendPos val="b"/>
      <c:layout/>
    </c:legend>
    <c:plotVisOnly val="1"/>
    <c:dispBlanksAs val="gap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0.1333</cdr:x>
      <cdr:y>0.41774</cdr:y>
    </cdr:from>
    <cdr:to>
      <cdr:x>0.93078</cdr:x>
      <cdr:y>0.4185</cdr:y>
    </cdr:to>
    <cdr:sp macro="" textlink="">
      <cdr:nvSpPr>
        <cdr:cNvPr id="3" name="Conector reto 2"/>
        <cdr:cNvSpPr/>
      </cdr:nvSpPr>
      <cdr:spPr>
        <a:xfrm xmlns:a="http://schemas.openxmlformats.org/drawingml/2006/main">
          <a:off x="369139" y="871268"/>
          <a:ext cx="2208362" cy="1588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0.14018</cdr:x>
      <cdr:y>0.64935</cdr:y>
    </cdr:from>
    <cdr:to>
      <cdr:x>0.93766</cdr:x>
      <cdr:y>0.65011</cdr:y>
    </cdr:to>
    <cdr:sp macro="" textlink="">
      <cdr:nvSpPr>
        <cdr:cNvPr id="4" name="Conector reto 3"/>
        <cdr:cNvSpPr/>
      </cdr:nvSpPr>
      <cdr:spPr>
        <a:xfrm xmlns:a="http://schemas.openxmlformats.org/drawingml/2006/main">
          <a:off x="388188" y="1354347"/>
          <a:ext cx="2208362" cy="15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 cap="flat" cmpd="sng" algn="ctr">
          <a:solidFill>
            <a:sysClr val="windowText" lastClr="000000"/>
          </a:solidFill>
          <a:prstDash val="sysDash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0.42924</cdr:x>
      <cdr:y>0.55836</cdr:y>
    </cdr:from>
    <cdr:to>
      <cdr:x>0.78125</cdr:x>
      <cdr:y>0.62867</cdr:y>
    </cdr:to>
    <cdr:sp macro="" textlink="">
      <cdr:nvSpPr>
        <cdr:cNvPr id="5" name="CaixaDeTexto 4"/>
        <cdr:cNvSpPr txBox="1"/>
      </cdr:nvSpPr>
      <cdr:spPr>
        <a:xfrm xmlns:a="http://schemas.openxmlformats.org/drawingml/2006/main">
          <a:off x="1188648" y="1164566"/>
          <a:ext cx="974785" cy="146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900" b="1">
              <a:latin typeface="Times New Roman" pitchFamily="18" charset="0"/>
              <a:cs typeface="Times New Roman" pitchFamily="18" charset="0"/>
            </a:rPr>
            <a:t>     Eutrófico</a:t>
          </a:r>
        </a:p>
      </cdr:txBody>
    </cdr:sp>
  </cdr:relSizeAnchor>
  <cdr:relSizeAnchor xmlns:cdr="http://schemas.openxmlformats.org/drawingml/2006/chartDrawing">
    <cdr:from>
      <cdr:x>0.41055</cdr:x>
      <cdr:y>0.31847</cdr:y>
    </cdr:from>
    <cdr:to>
      <cdr:x>0.76568</cdr:x>
      <cdr:y>0.37638</cdr:y>
    </cdr:to>
    <cdr:sp macro="" textlink="">
      <cdr:nvSpPr>
        <cdr:cNvPr id="6" name="CaixaDeTexto 5"/>
        <cdr:cNvSpPr txBox="1"/>
      </cdr:nvSpPr>
      <cdr:spPr>
        <a:xfrm xmlns:a="http://schemas.openxmlformats.org/drawingml/2006/main">
          <a:off x="1136890" y="664235"/>
          <a:ext cx="983412" cy="1207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900" b="1">
              <a:latin typeface="Times New Roman" pitchFamily="18" charset="0"/>
              <a:cs typeface="Times New Roman" pitchFamily="18" charset="0"/>
            </a:rPr>
            <a:t> </a:t>
          </a:r>
          <a:r>
            <a:rPr lang="pt-BR" sz="9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pt-BR" sz="900" b="1">
              <a:latin typeface="Times New Roman" pitchFamily="18" charset="0"/>
              <a:cs typeface="Times New Roman" pitchFamily="18" charset="0"/>
            </a:rPr>
            <a:t>Supereutrófico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0.14848</cdr:x>
      <cdr:y>0.75689</cdr:y>
    </cdr:from>
    <cdr:to>
      <cdr:x>0.94177</cdr:x>
      <cdr:y>0.75765</cdr:y>
    </cdr:to>
    <cdr:sp macro="" textlink="">
      <cdr:nvSpPr>
        <cdr:cNvPr id="3" name="Conector reto 2"/>
        <cdr:cNvSpPr/>
      </cdr:nvSpPr>
      <cdr:spPr>
        <a:xfrm xmlns:a="http://schemas.openxmlformats.org/drawingml/2006/main">
          <a:off x="403644" y="1578634"/>
          <a:ext cx="2156604" cy="1588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0.40233</cdr:x>
      <cdr:y>0.66176</cdr:y>
    </cdr:from>
    <cdr:to>
      <cdr:x>0.65936</cdr:x>
      <cdr:y>0.71139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1093758" y="1380227"/>
          <a:ext cx="698740" cy="1035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1100"/>
            <a:t>  </a:t>
          </a:r>
          <a:r>
            <a:rPr lang="pt-BR" sz="900" b="1">
              <a:latin typeface="Times New Roman" pitchFamily="18" charset="0"/>
              <a:cs typeface="Times New Roman" pitchFamily="18" charset="0"/>
            </a:rPr>
            <a:t> Boa</a:t>
          </a:r>
        </a:p>
      </cdr:txBody>
    </cdr:sp>
  </cdr:relSizeAnchor>
  <cdr:relSizeAnchor xmlns:cdr="http://schemas.openxmlformats.org/drawingml/2006/chartDrawing">
    <cdr:from>
      <cdr:x>0.40868</cdr:x>
      <cdr:y>0.16544</cdr:y>
    </cdr:from>
    <cdr:to>
      <cdr:x>0.71648</cdr:x>
      <cdr:y>0.21921</cdr:y>
    </cdr:to>
    <cdr:sp macro="" textlink="">
      <cdr:nvSpPr>
        <cdr:cNvPr id="5" name="CaixaDeTexto 4"/>
        <cdr:cNvSpPr txBox="1"/>
      </cdr:nvSpPr>
      <cdr:spPr>
        <a:xfrm xmlns:a="http://schemas.openxmlformats.org/drawingml/2006/main">
          <a:off x="1111011" y="345057"/>
          <a:ext cx="836762" cy="112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900" b="1">
              <a:latin typeface="Times New Roman" pitchFamily="18" charset="0"/>
              <a:cs typeface="Times New Roman" pitchFamily="18" charset="0"/>
            </a:rPr>
            <a:t>Ótima</a:t>
          </a:r>
        </a:p>
      </cdr:txBody>
    </cdr:sp>
  </cdr:relSizeAnchor>
  <cdr:relSizeAnchor xmlns:cdr="http://schemas.openxmlformats.org/drawingml/2006/chartDrawing">
    <cdr:from>
      <cdr:x>0.14279</cdr:x>
      <cdr:y>0.24402</cdr:y>
    </cdr:from>
    <cdr:to>
      <cdr:x>0.93609</cdr:x>
      <cdr:y>0.24479</cdr:y>
    </cdr:to>
    <cdr:sp macro="" textlink="">
      <cdr:nvSpPr>
        <cdr:cNvPr id="12" name="Conector reto 11"/>
        <cdr:cNvSpPr/>
      </cdr:nvSpPr>
      <cdr:spPr>
        <a:xfrm xmlns:a="http://schemas.openxmlformats.org/drawingml/2006/main">
          <a:off x="388189" y="508959"/>
          <a:ext cx="2156604" cy="15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 cap="flat" cmpd="sng" algn="ctr">
          <a:solidFill>
            <a:sysClr val="windowText" lastClr="000000"/>
          </a:solidFill>
          <a:prstDash val="sysDash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t-BR"/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1448</Characters>
  <Application>Microsoft Office Word</Application>
  <DocSecurity>0</DocSecurity>
  <Lines>12</Lines>
  <Paragraphs>3</Paragraphs>
  <ScaleCrop>false</ScaleCrop>
  <Company>Grizli777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ailtonsilva</dc:creator>
  <cp:lastModifiedBy>ailtonsilva</cp:lastModifiedBy>
  <cp:revision>1</cp:revision>
  <dcterms:created xsi:type="dcterms:W3CDTF">2016-08-18T16:54:00Z</dcterms:created>
  <dcterms:modified xsi:type="dcterms:W3CDTF">2016-08-18T16:55:00Z</dcterms:modified>
</cp:coreProperties>
</file>