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AE" w:rsidRDefault="009F04AE"/>
    <w:p w:rsidR="003029AA" w:rsidRPr="00453F5D" w:rsidRDefault="003029AA" w:rsidP="003029AA">
      <w:pPr>
        <w:spacing w:line="480" w:lineRule="auto"/>
        <w:jc w:val="both"/>
        <w:outlineLvl w:val="2"/>
        <w:rPr>
          <w:b/>
        </w:rPr>
      </w:pPr>
      <w:r w:rsidRPr="00453F5D">
        <w:rPr>
          <w:b/>
        </w:rPr>
        <w:t>LEGENDA DAS TABELAS</w:t>
      </w:r>
    </w:p>
    <w:p w:rsidR="003029AA" w:rsidRPr="00453F5D" w:rsidRDefault="003029AA" w:rsidP="003029AA">
      <w:pPr>
        <w:spacing w:line="480" w:lineRule="auto"/>
        <w:jc w:val="both"/>
        <w:outlineLvl w:val="2"/>
      </w:pPr>
    </w:p>
    <w:p w:rsidR="003029AA" w:rsidRPr="00453F5D" w:rsidRDefault="003029AA" w:rsidP="003029AA">
      <w:pPr>
        <w:tabs>
          <w:tab w:val="left" w:pos="360"/>
          <w:tab w:val="left" w:pos="900"/>
          <w:tab w:val="left" w:pos="8460"/>
        </w:tabs>
        <w:spacing w:line="480" w:lineRule="auto"/>
        <w:ind w:right="44"/>
        <w:jc w:val="both"/>
      </w:pPr>
      <w:r w:rsidRPr="00453F5D">
        <w:rPr>
          <w:b/>
        </w:rPr>
        <w:t>Tabela 1.</w:t>
      </w:r>
      <w:r w:rsidRPr="00453F5D">
        <w:t xml:space="preserve"> Controle da podridão mole em couve-chinesa tratada com </w:t>
      </w:r>
      <w:proofErr w:type="spellStart"/>
      <w:r w:rsidRPr="00453F5D">
        <w:t>Acibenzolar</w:t>
      </w:r>
      <w:proofErr w:type="spellEnd"/>
      <w:r w:rsidRPr="00453F5D">
        <w:t xml:space="preserve">-S-metil (ASM), </w:t>
      </w:r>
      <w:proofErr w:type="spellStart"/>
      <w:r w:rsidRPr="00453F5D">
        <w:t>Ecolife</w:t>
      </w:r>
      <w:proofErr w:type="spellEnd"/>
      <w:r w:rsidRPr="00453F5D">
        <w:rPr>
          <w:vertAlign w:val="superscript"/>
        </w:rPr>
        <w:t>®</w:t>
      </w:r>
      <w:r w:rsidRPr="00453F5D">
        <w:t xml:space="preserve">, </w:t>
      </w:r>
      <w:proofErr w:type="spellStart"/>
      <w:r w:rsidRPr="00453F5D">
        <w:t>Agro-Mos</w:t>
      </w:r>
      <w:proofErr w:type="spellEnd"/>
      <w:r w:rsidRPr="00453F5D">
        <w:rPr>
          <w:vertAlign w:val="superscript"/>
        </w:rPr>
        <w:t>®</w:t>
      </w:r>
      <w:r w:rsidRPr="00453F5D">
        <w:t xml:space="preserve"> e óxido de cálcio, avaliado por período de incubação (PI), severidade (SEV), índice de doença (IDO) e área abaixo da curva de progresso da doença (AACPD)</w:t>
      </w:r>
      <w:r w:rsidRPr="00453F5D">
        <w:rPr>
          <w:iCs/>
        </w:rPr>
        <w:t xml:space="preserve"> </w:t>
      </w:r>
      <w:r w:rsidRPr="00453F5D">
        <w:t xml:space="preserve">em condições de casa de vegetação </w:t>
      </w:r>
    </w:p>
    <w:tbl>
      <w:tblPr>
        <w:tblW w:w="7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850"/>
        <w:gridCol w:w="1135"/>
        <w:gridCol w:w="1135"/>
      </w:tblGrid>
      <w:tr w:rsidR="003029AA" w:rsidRPr="00453F5D" w:rsidTr="0099266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Tratamentos</w:t>
            </w:r>
            <w:r w:rsidRPr="00453F5D"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>PI</w:t>
            </w:r>
            <w:r w:rsidRPr="00453F5D">
              <w:rPr>
                <w:vertAlign w:val="superscript"/>
              </w:rPr>
              <w:t>2</w:t>
            </w:r>
            <w:r w:rsidRPr="00453F5D">
              <w:t>(h)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>SEV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IDO (%)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AACPD</w:t>
            </w:r>
          </w:p>
        </w:tc>
      </w:tr>
      <w:tr w:rsidR="003029AA" w:rsidRPr="00453F5D" w:rsidTr="0099266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proofErr w:type="spellStart"/>
            <w:r w:rsidRPr="00453F5D">
              <w:t>Acibenzolar</w:t>
            </w:r>
            <w:proofErr w:type="spellEnd"/>
            <w:r w:rsidRPr="00453F5D">
              <w:t>-S-metil</w:t>
            </w:r>
            <w:r w:rsidRPr="00453F5D">
              <w:rPr>
                <w:vertAlign w:val="superscript"/>
              </w:rPr>
              <w:t xml:space="preserve"> </w:t>
            </w:r>
            <w:r w:rsidRPr="00453F5D">
              <w:t>(0,025 g L</w:t>
            </w:r>
            <w:r w:rsidRPr="00453F5D">
              <w:rPr>
                <w:vertAlign w:val="superscript"/>
              </w:rPr>
              <w:t>-1</w:t>
            </w:r>
            <w:r w:rsidRPr="00453F5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19,5</w:t>
            </w:r>
            <w:r w:rsidRPr="00453F5D">
              <w:rPr>
                <w:vertAlign w:val="superscript"/>
              </w:rPr>
              <w:t>3</w:t>
            </w:r>
            <w:r w:rsidRPr="00453F5D">
              <w:t xml:space="preserve"> 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3,2 b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35,5 b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35,5 b</w:t>
            </w:r>
          </w:p>
        </w:tc>
      </w:tr>
      <w:tr w:rsidR="003029AA" w:rsidRPr="00453F5D" w:rsidTr="0099266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rPr>
                <w:lang w:val="en-US"/>
              </w:rPr>
            </w:pPr>
            <w:proofErr w:type="spellStart"/>
            <w:r w:rsidRPr="00453F5D">
              <w:t>Ecolife</w:t>
            </w:r>
            <w:proofErr w:type="spellEnd"/>
            <w:r w:rsidRPr="00453F5D">
              <w:rPr>
                <w:vertAlign w:val="superscript"/>
              </w:rPr>
              <w:t>®</w:t>
            </w:r>
            <w:r w:rsidRPr="00453F5D">
              <w:t xml:space="preserve"> (2,0 g L</w:t>
            </w:r>
            <w:r w:rsidRPr="00453F5D">
              <w:rPr>
                <w:vertAlign w:val="superscript"/>
              </w:rPr>
              <w:t>-</w:t>
            </w:r>
            <w:r w:rsidRPr="00453F5D">
              <w:rPr>
                <w:vertAlign w:val="superscript"/>
                <w:lang w:val="en-US"/>
              </w:rPr>
              <w:t>1</w:t>
            </w:r>
            <w:r w:rsidRPr="00453F5D">
              <w:rPr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17,7 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5,8 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64,4 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105,0 a</w:t>
            </w:r>
          </w:p>
        </w:tc>
      </w:tr>
      <w:tr w:rsidR="003029AA" w:rsidRPr="00453F5D" w:rsidTr="0099266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Óxido de cálcio</w:t>
            </w:r>
            <w:r w:rsidRPr="00453F5D">
              <w:rPr>
                <w:vertAlign w:val="superscript"/>
              </w:rPr>
              <w:t xml:space="preserve"> </w:t>
            </w:r>
            <w:r w:rsidRPr="00453F5D">
              <w:t>(0,22 g L</w:t>
            </w:r>
            <w:r w:rsidRPr="00453F5D">
              <w:rPr>
                <w:vertAlign w:val="superscript"/>
              </w:rPr>
              <w:t>-1</w:t>
            </w:r>
            <w:r w:rsidRPr="00453F5D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16,8 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6,0 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66,6 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 xml:space="preserve">93,4 </w:t>
            </w:r>
            <w:proofErr w:type="spellStart"/>
            <w:r w:rsidRPr="00453F5D">
              <w:t>ab</w:t>
            </w:r>
            <w:proofErr w:type="spellEnd"/>
          </w:p>
        </w:tc>
      </w:tr>
      <w:tr w:rsidR="003029AA" w:rsidRPr="00453F5D" w:rsidTr="0099266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proofErr w:type="spellStart"/>
            <w:r w:rsidRPr="00453F5D">
              <w:t>Agro-Mos</w:t>
            </w:r>
            <w:proofErr w:type="spellEnd"/>
            <w:r w:rsidRPr="00453F5D">
              <w:rPr>
                <w:vertAlign w:val="superscript"/>
              </w:rPr>
              <w:t xml:space="preserve">® </w:t>
            </w:r>
            <w:r w:rsidRPr="00453F5D">
              <w:t>(2,0 g L</w:t>
            </w:r>
            <w:r w:rsidRPr="00453F5D">
              <w:rPr>
                <w:vertAlign w:val="superscript"/>
              </w:rPr>
              <w:t>-1</w:t>
            </w:r>
            <w:r w:rsidRPr="00453F5D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23,7 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3,2 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42,1 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49,8 c</w:t>
            </w:r>
          </w:p>
        </w:tc>
      </w:tr>
      <w:tr w:rsidR="003029AA" w:rsidRPr="00453F5D" w:rsidTr="00992661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Testemunha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15,6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6,1 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64,9 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102,7 a</w:t>
            </w:r>
          </w:p>
        </w:tc>
      </w:tr>
      <w:tr w:rsidR="003029AA" w:rsidRPr="00453F5D" w:rsidTr="00992661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CV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8,5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19,9</w:t>
            </w:r>
          </w:p>
        </w:tc>
      </w:tr>
    </w:tbl>
    <w:p w:rsidR="003029AA" w:rsidRPr="00453F5D" w:rsidRDefault="003029AA" w:rsidP="003029AA">
      <w:pPr>
        <w:spacing w:line="480" w:lineRule="auto"/>
        <w:ind w:right="-2"/>
        <w:jc w:val="both"/>
      </w:pPr>
      <w:r w:rsidRPr="00453F5D">
        <w:rPr>
          <w:vertAlign w:val="superscript"/>
        </w:rPr>
        <w:t>1</w:t>
      </w:r>
      <w:r w:rsidRPr="00453F5D">
        <w:t xml:space="preserve">Indutores aplicados em plantas com 27 dias e inoculação com  </w:t>
      </w:r>
      <w:proofErr w:type="spellStart"/>
      <w:r w:rsidRPr="00453F5D">
        <w:rPr>
          <w:i/>
        </w:rPr>
        <w:t>Pectobacterium</w:t>
      </w:r>
      <w:proofErr w:type="spellEnd"/>
      <w:r w:rsidRPr="00453F5D">
        <w:rPr>
          <w:i/>
        </w:rPr>
        <w:t xml:space="preserve"> </w:t>
      </w:r>
      <w:proofErr w:type="spellStart"/>
      <w:r w:rsidRPr="00453F5D">
        <w:rPr>
          <w:i/>
        </w:rPr>
        <w:t>carotovorum</w:t>
      </w:r>
      <w:proofErr w:type="spellEnd"/>
      <w:r w:rsidRPr="00453F5D">
        <w:t xml:space="preserve"> </w:t>
      </w:r>
      <w:proofErr w:type="spellStart"/>
      <w:r w:rsidRPr="00453F5D">
        <w:t>subsp</w:t>
      </w:r>
      <w:proofErr w:type="spellEnd"/>
      <w:r w:rsidRPr="00453F5D">
        <w:t xml:space="preserve">. </w:t>
      </w:r>
      <w:proofErr w:type="spellStart"/>
      <w:r w:rsidRPr="00453F5D">
        <w:rPr>
          <w:i/>
        </w:rPr>
        <w:t>carotovorum</w:t>
      </w:r>
      <w:proofErr w:type="spellEnd"/>
      <w:r w:rsidRPr="00453F5D">
        <w:t xml:space="preserve"> sete dias após indução; </w:t>
      </w:r>
      <w:r w:rsidRPr="00453F5D">
        <w:rPr>
          <w:vertAlign w:val="superscript"/>
        </w:rPr>
        <w:t>2</w:t>
      </w:r>
      <w:r w:rsidRPr="00453F5D">
        <w:t xml:space="preserve">PI= número de horas entre a inoculação e o surgimento dos sintomas da doença; IDO=  calculado de acordo com </w:t>
      </w:r>
      <w:proofErr w:type="spellStart"/>
      <w:r w:rsidRPr="00453F5D">
        <w:t>McKinney</w:t>
      </w:r>
      <w:proofErr w:type="spellEnd"/>
      <w:r w:rsidRPr="00453F5D">
        <w:t xml:space="preserve"> (1923); SEV= determinada às 48 h após a inoculação, com o auxílio da escala descritiva de </w:t>
      </w:r>
      <w:proofErr w:type="spellStart"/>
      <w:r w:rsidRPr="00453F5D">
        <w:t>Ren</w:t>
      </w:r>
      <w:proofErr w:type="spellEnd"/>
      <w:r w:rsidRPr="00453F5D">
        <w:t xml:space="preserve">, </w:t>
      </w:r>
      <w:proofErr w:type="spellStart"/>
      <w:r w:rsidRPr="00453F5D">
        <w:t>Petzoldt</w:t>
      </w:r>
      <w:proofErr w:type="spellEnd"/>
      <w:r w:rsidRPr="00453F5D">
        <w:t xml:space="preserve"> e </w:t>
      </w:r>
      <w:proofErr w:type="spellStart"/>
      <w:r w:rsidRPr="00453F5D">
        <w:t>Dickson</w:t>
      </w:r>
      <w:proofErr w:type="spellEnd"/>
      <w:r w:rsidRPr="00453F5D">
        <w:t xml:space="preserve"> (2001); AACPD= calculada segundo </w:t>
      </w:r>
      <w:proofErr w:type="spellStart"/>
      <w:r w:rsidRPr="00453F5D">
        <w:t>Shaner</w:t>
      </w:r>
      <w:proofErr w:type="spellEnd"/>
      <w:r w:rsidRPr="00453F5D">
        <w:t xml:space="preserve"> e Finney (1977); </w:t>
      </w:r>
      <w:r w:rsidRPr="00453F5D">
        <w:rPr>
          <w:vertAlign w:val="superscript"/>
        </w:rPr>
        <w:t>3</w:t>
      </w:r>
      <w:r w:rsidRPr="00453F5D">
        <w:t>Média de oito repetições; médias seguidas de mesma letra nas colunas não diferem estatisticamente entre si, Teste de Duncan (P≤0,05)</w:t>
      </w:r>
    </w:p>
    <w:p w:rsidR="003029AA" w:rsidRDefault="003029AA" w:rsidP="003029AA">
      <w:pPr>
        <w:spacing w:line="480" w:lineRule="auto"/>
        <w:jc w:val="both"/>
        <w:outlineLvl w:val="2"/>
      </w:pPr>
    </w:p>
    <w:p w:rsidR="003029AA" w:rsidRDefault="003029AA" w:rsidP="003029AA">
      <w:pPr>
        <w:spacing w:line="480" w:lineRule="auto"/>
        <w:jc w:val="both"/>
        <w:outlineLvl w:val="2"/>
      </w:pPr>
    </w:p>
    <w:p w:rsidR="003029AA" w:rsidRDefault="003029AA" w:rsidP="003029AA">
      <w:pPr>
        <w:spacing w:line="480" w:lineRule="auto"/>
        <w:jc w:val="both"/>
        <w:outlineLvl w:val="2"/>
      </w:pPr>
    </w:p>
    <w:p w:rsidR="003029AA" w:rsidRDefault="003029AA" w:rsidP="003029AA">
      <w:pPr>
        <w:spacing w:line="480" w:lineRule="auto"/>
        <w:jc w:val="both"/>
        <w:outlineLvl w:val="2"/>
      </w:pPr>
    </w:p>
    <w:p w:rsidR="003029AA" w:rsidRPr="00453F5D" w:rsidRDefault="003029AA" w:rsidP="003029AA">
      <w:pPr>
        <w:spacing w:line="480" w:lineRule="auto"/>
        <w:jc w:val="both"/>
        <w:outlineLvl w:val="2"/>
      </w:pPr>
      <w:bookmarkStart w:id="0" w:name="_GoBack"/>
      <w:bookmarkEnd w:id="0"/>
    </w:p>
    <w:p w:rsidR="003029AA" w:rsidRPr="00453F5D" w:rsidRDefault="003029AA" w:rsidP="003029AA">
      <w:pPr>
        <w:tabs>
          <w:tab w:val="left" w:pos="360"/>
          <w:tab w:val="left" w:pos="900"/>
          <w:tab w:val="left" w:pos="8460"/>
        </w:tabs>
        <w:spacing w:line="480" w:lineRule="auto"/>
        <w:ind w:right="44"/>
        <w:jc w:val="both"/>
      </w:pPr>
      <w:r w:rsidRPr="00453F5D">
        <w:rPr>
          <w:b/>
        </w:rPr>
        <w:lastRenderedPageBreak/>
        <w:t>Tabela 2.</w:t>
      </w:r>
      <w:r w:rsidRPr="00453F5D">
        <w:t xml:space="preserve"> Atividade enzimática das </w:t>
      </w:r>
      <w:proofErr w:type="spellStart"/>
      <w:r w:rsidRPr="00453F5D">
        <w:t>peroxidases</w:t>
      </w:r>
      <w:proofErr w:type="spellEnd"/>
      <w:r w:rsidRPr="00453F5D">
        <w:t xml:space="preserve"> e </w:t>
      </w:r>
      <w:proofErr w:type="spellStart"/>
      <w:r w:rsidRPr="00453F5D">
        <w:t>polifenoloxidases</w:t>
      </w:r>
      <w:proofErr w:type="spellEnd"/>
      <w:r w:rsidRPr="00453F5D">
        <w:t xml:space="preserve"> aos 7 e 14 dias após a aplicação de </w:t>
      </w:r>
      <w:proofErr w:type="spellStart"/>
      <w:r w:rsidRPr="00453F5D">
        <w:t>Acibenzolar</w:t>
      </w:r>
      <w:proofErr w:type="spellEnd"/>
      <w:r w:rsidRPr="00453F5D">
        <w:t xml:space="preserve">-S-metil (ASM) e </w:t>
      </w:r>
      <w:proofErr w:type="spellStart"/>
      <w:r w:rsidRPr="00453F5D">
        <w:t>Agro-Mos</w:t>
      </w:r>
      <w:proofErr w:type="spellEnd"/>
      <w:r w:rsidRPr="00453F5D">
        <w:rPr>
          <w:vertAlign w:val="superscript"/>
        </w:rPr>
        <w:t>®</w:t>
      </w:r>
      <w:r w:rsidRPr="00453F5D">
        <w:t xml:space="preserve"> em couve-chinesa, em condições de casa de vegetação.</w:t>
      </w:r>
    </w:p>
    <w:tbl>
      <w:tblPr>
        <w:tblpPr w:leftFromText="141" w:rightFromText="141" w:vertAnchor="text" w:tblpX="7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1184"/>
        <w:gridCol w:w="943"/>
        <w:gridCol w:w="711"/>
        <w:gridCol w:w="849"/>
        <w:gridCol w:w="1132"/>
      </w:tblGrid>
      <w:tr w:rsidR="003029AA" w:rsidRPr="00453F5D" w:rsidTr="00992661">
        <w:tc>
          <w:tcPr>
            <w:tcW w:w="35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</w:p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Tratamento</w:t>
            </w:r>
            <w:r w:rsidRPr="00453F5D">
              <w:rPr>
                <w:vertAlign w:val="superscript"/>
              </w:rPr>
              <w:t>1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7 dias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14 dias</w:t>
            </w:r>
          </w:p>
        </w:tc>
      </w:tr>
      <w:tr w:rsidR="003029AA" w:rsidRPr="00453F5D" w:rsidTr="00992661">
        <w:tc>
          <w:tcPr>
            <w:tcW w:w="3510" w:type="dxa"/>
            <w:vMerge/>
            <w:tcBorders>
              <w:left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ind w:left="-108"/>
            </w:pPr>
            <w:proofErr w:type="spellStart"/>
            <w:r w:rsidRPr="00453F5D">
              <w:t>Peroxidases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roofErr w:type="spellStart"/>
            <w:r w:rsidRPr="00453F5D">
              <w:t>Polifenol</w:t>
            </w:r>
            <w:proofErr w:type="spellEnd"/>
          </w:p>
          <w:p w:rsidR="003029AA" w:rsidRPr="00453F5D" w:rsidRDefault="003029AA" w:rsidP="00992661">
            <w:proofErr w:type="gramStart"/>
            <w:r w:rsidRPr="00453F5D">
              <w:t>oxidases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ind w:hanging="104"/>
            </w:pPr>
            <w:proofErr w:type="spellStart"/>
            <w:r w:rsidRPr="00453F5D">
              <w:t>Peroxidases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roofErr w:type="spellStart"/>
            <w:r w:rsidRPr="00453F5D">
              <w:t>Polifenoloxidases</w:t>
            </w:r>
            <w:proofErr w:type="spellEnd"/>
          </w:p>
        </w:tc>
      </w:tr>
      <w:tr w:rsidR="003029AA" w:rsidRPr="00453F5D" w:rsidTr="00992661">
        <w:tc>
          <w:tcPr>
            <w:tcW w:w="3510" w:type="dxa"/>
            <w:vMerge/>
            <w:tcBorders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 xml:space="preserve">                 (U/mg proteína)</w:t>
            </w:r>
          </w:p>
        </w:tc>
      </w:tr>
      <w:tr w:rsidR="003029AA" w:rsidRPr="00453F5D" w:rsidTr="00992661">
        <w:trPr>
          <w:trHeight w:val="582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proofErr w:type="spellStart"/>
            <w:r w:rsidRPr="00453F5D">
              <w:t>Acibenzolar</w:t>
            </w:r>
            <w:proofErr w:type="spellEnd"/>
            <w:r w:rsidRPr="00453F5D">
              <w:t>-S-metil</w:t>
            </w:r>
            <w:r w:rsidRPr="00453F5D">
              <w:rPr>
                <w:vertAlign w:val="superscript"/>
              </w:rPr>
              <w:t xml:space="preserve"> </w:t>
            </w:r>
            <w:r w:rsidRPr="00453F5D">
              <w:t xml:space="preserve">(0,025 g/L)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7,1</w:t>
            </w:r>
            <w:r w:rsidRPr="00453F5D">
              <w:rPr>
                <w:bCs/>
                <w:vertAlign w:val="superscript"/>
              </w:rPr>
              <w:t>2</w:t>
            </w:r>
            <w:r w:rsidRPr="00453F5D">
              <w:t>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23,4a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 xml:space="preserve">             4,1a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3,7a</w:t>
            </w:r>
          </w:p>
        </w:tc>
      </w:tr>
      <w:tr w:rsidR="003029AA" w:rsidRPr="00453F5D" w:rsidTr="0099266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proofErr w:type="spellStart"/>
            <w:r w:rsidRPr="00453F5D">
              <w:t>Agro-Mos</w:t>
            </w:r>
            <w:proofErr w:type="spellEnd"/>
            <w:r w:rsidRPr="00453F5D">
              <w:rPr>
                <w:vertAlign w:val="superscript"/>
              </w:rPr>
              <w:t xml:space="preserve">® </w:t>
            </w:r>
            <w:r w:rsidRPr="00453F5D">
              <w:t>(2,0 g/L)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5,0b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9,9b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 xml:space="preserve">             3,9a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3,0a</w:t>
            </w:r>
          </w:p>
        </w:tc>
      </w:tr>
      <w:tr w:rsidR="003029AA" w:rsidRPr="00453F5D" w:rsidTr="0099266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Testemunha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4,3b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6,3b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 xml:space="preserve">             2,8b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jc w:val="center"/>
            </w:pPr>
            <w:r w:rsidRPr="00453F5D">
              <w:t>3,2a</w:t>
            </w:r>
          </w:p>
        </w:tc>
      </w:tr>
      <w:tr w:rsidR="003029AA" w:rsidRPr="00453F5D" w:rsidTr="00992661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CV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>16,5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>28,1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 xml:space="preserve">           42,5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  <w:jc w:val="center"/>
            </w:pPr>
            <w:r w:rsidRPr="00453F5D">
              <w:t>15,7</w:t>
            </w:r>
          </w:p>
        </w:tc>
      </w:tr>
    </w:tbl>
    <w:p w:rsidR="003029AA" w:rsidRPr="00453F5D" w:rsidRDefault="003029AA" w:rsidP="003029AA">
      <w:pPr>
        <w:tabs>
          <w:tab w:val="left" w:pos="8364"/>
        </w:tabs>
        <w:spacing w:line="480" w:lineRule="auto"/>
        <w:ind w:right="-2"/>
        <w:jc w:val="both"/>
        <w:rPr>
          <w:vertAlign w:val="superscript"/>
        </w:rPr>
      </w:pPr>
      <w:r w:rsidRPr="00453F5D">
        <w:rPr>
          <w:vertAlign w:val="superscript"/>
        </w:rPr>
        <w:t>1</w:t>
      </w:r>
      <w:r w:rsidRPr="00453F5D">
        <w:t xml:space="preserve">Indutores aplicados em plantas com 27 dias; </w:t>
      </w:r>
      <w:r w:rsidRPr="00453F5D">
        <w:rPr>
          <w:vertAlign w:val="superscript"/>
        </w:rPr>
        <w:t>2</w:t>
      </w:r>
      <w:r w:rsidRPr="00453F5D">
        <w:t xml:space="preserve">Média de oito repetições; médias seguidas de mesma letra nas colunas não diferem estatisticamente entre si, Teste de Duncan (P≤0,05) </w:t>
      </w:r>
    </w:p>
    <w:p w:rsidR="003029AA" w:rsidRPr="00453F5D" w:rsidRDefault="003029AA" w:rsidP="003029AA">
      <w:pPr>
        <w:spacing w:line="480" w:lineRule="auto"/>
        <w:ind w:right="-2"/>
        <w:jc w:val="both"/>
        <w:rPr>
          <w:b/>
        </w:rPr>
      </w:pPr>
    </w:p>
    <w:p w:rsidR="003029AA" w:rsidRPr="00453F5D" w:rsidRDefault="003029AA" w:rsidP="003029AA">
      <w:pPr>
        <w:spacing w:line="480" w:lineRule="auto"/>
        <w:jc w:val="both"/>
      </w:pPr>
      <w:r w:rsidRPr="00453F5D">
        <w:rPr>
          <w:b/>
        </w:rPr>
        <w:t>Tabela 3.</w:t>
      </w:r>
      <w:r w:rsidRPr="00453F5D">
        <w:t xml:space="preserve"> Controle da podridão mole em couve-chinesa tratada com </w:t>
      </w:r>
      <w:proofErr w:type="spellStart"/>
      <w:r w:rsidRPr="00453F5D">
        <w:t>Acibenzolar</w:t>
      </w:r>
      <w:proofErr w:type="spellEnd"/>
      <w:r w:rsidRPr="00453F5D">
        <w:t xml:space="preserve">-S-metil (ASM) e </w:t>
      </w:r>
      <w:proofErr w:type="spellStart"/>
      <w:r w:rsidRPr="00453F5D">
        <w:t>Agro-Mos</w:t>
      </w:r>
      <w:proofErr w:type="spellEnd"/>
      <w:r w:rsidRPr="00453F5D">
        <w:rPr>
          <w:vertAlign w:val="superscript"/>
        </w:rPr>
        <w:t>®</w:t>
      </w:r>
      <w:r w:rsidRPr="00453F5D">
        <w:t xml:space="preserve"> avaliado por período de incubação (PI), índice de doença (IDO), severidade (SEV) e área abaixo da curva de progresso da doença (AACPD)</w:t>
      </w:r>
      <w:r w:rsidRPr="00453F5D">
        <w:rPr>
          <w:iCs/>
        </w:rPr>
        <w:t xml:space="preserve"> </w:t>
      </w:r>
      <w:r w:rsidRPr="00453F5D">
        <w:t xml:space="preserve">em campo comercial </w:t>
      </w:r>
    </w:p>
    <w:tbl>
      <w:tblPr>
        <w:tblW w:w="8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3"/>
        <w:gridCol w:w="992"/>
        <w:gridCol w:w="1276"/>
        <w:gridCol w:w="1276"/>
      </w:tblGrid>
      <w:tr w:rsidR="003029AA" w:rsidRPr="00453F5D" w:rsidTr="00992661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Tratamento</w:t>
            </w:r>
            <w:r w:rsidRPr="00453F5D">
              <w:rPr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</w:pPr>
            <w:r w:rsidRPr="00453F5D">
              <w:t>PI</w:t>
            </w:r>
            <w:r w:rsidRPr="00453F5D">
              <w:rPr>
                <w:vertAlign w:val="superscript"/>
              </w:rPr>
              <w:t>2</w:t>
            </w:r>
            <w:r w:rsidRPr="00453F5D">
              <w:t>(h)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SEV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IDO (%)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</w:pPr>
            <w:r w:rsidRPr="00453F5D">
              <w:t>AACPD</w:t>
            </w:r>
          </w:p>
        </w:tc>
      </w:tr>
      <w:tr w:rsidR="003029AA" w:rsidRPr="00453F5D" w:rsidTr="00992661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firstLine="2088"/>
            </w:pPr>
            <w:proofErr w:type="spellStart"/>
            <w:r w:rsidRPr="00453F5D">
              <w:t>Acibenzolar</w:t>
            </w:r>
            <w:proofErr w:type="spellEnd"/>
            <w:r w:rsidRPr="00453F5D">
              <w:t>-S-metil</w:t>
            </w:r>
            <w:r w:rsidRPr="00453F5D">
              <w:rPr>
                <w:vertAlign w:val="superscript"/>
              </w:rPr>
              <w:t xml:space="preserve"> </w:t>
            </w:r>
            <w:r w:rsidRPr="00453F5D">
              <w:t>(0,025 g L</w:t>
            </w:r>
            <w:r w:rsidRPr="00453F5D">
              <w:rPr>
                <w:vertAlign w:val="superscript"/>
              </w:rPr>
              <w:t>-1</w:t>
            </w:r>
            <w:r w:rsidRPr="00453F5D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20,3</w:t>
            </w:r>
            <w:r w:rsidRPr="00453F5D">
              <w:rPr>
                <w:vertAlign w:val="superscript"/>
              </w:rPr>
              <w:t>3</w:t>
            </w:r>
            <w:r w:rsidRPr="00453F5D"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3,4b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38,8b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firstLine="2088"/>
            </w:pPr>
            <w:r w:rsidRPr="00453F5D">
              <w:t>70,5a</w:t>
            </w:r>
          </w:p>
        </w:tc>
      </w:tr>
      <w:tr w:rsidR="003029AA" w:rsidRPr="00453F5D" w:rsidTr="00992661">
        <w:trPr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right="-60" w:firstLine="2088"/>
            </w:pPr>
            <w:proofErr w:type="spellStart"/>
            <w:r w:rsidRPr="00453F5D">
              <w:t>Agro-Mos</w:t>
            </w:r>
            <w:proofErr w:type="spellEnd"/>
            <w:r w:rsidRPr="00453F5D">
              <w:rPr>
                <w:vertAlign w:val="superscript"/>
              </w:rPr>
              <w:t xml:space="preserve">® </w:t>
            </w:r>
            <w:r w:rsidRPr="00453F5D">
              <w:t>(2,0 g L</w:t>
            </w:r>
            <w:r w:rsidRPr="00453F5D">
              <w:rPr>
                <w:vertAlign w:val="superscript"/>
              </w:rPr>
              <w:t>-1</w:t>
            </w:r>
            <w:r w:rsidRPr="00453F5D"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18,8b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4,0a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44,6a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firstLine="2088"/>
            </w:pPr>
            <w:r w:rsidRPr="00453F5D">
              <w:t>74,5a</w:t>
            </w:r>
          </w:p>
        </w:tc>
      </w:tr>
      <w:tr w:rsidR="003029AA" w:rsidRPr="00453F5D" w:rsidTr="00992661">
        <w:trPr>
          <w:trHeight w:val="2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firstLine="2088"/>
            </w:pPr>
            <w:r w:rsidRPr="00453F5D">
              <w:t>Testemunha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19,2b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4,2a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</w:pPr>
            <w:r w:rsidRPr="00453F5D">
              <w:t>44,6a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29AA" w:rsidRPr="00453F5D" w:rsidRDefault="003029AA" w:rsidP="00992661">
            <w:pPr>
              <w:spacing w:before="100" w:beforeAutospacing="1" w:after="100" w:afterAutospacing="1" w:line="480" w:lineRule="auto"/>
              <w:ind w:left="-2088" w:firstLine="2088"/>
            </w:pPr>
            <w:r w:rsidRPr="00453F5D">
              <w:t>80,0b</w:t>
            </w:r>
          </w:p>
        </w:tc>
      </w:tr>
      <w:tr w:rsidR="003029AA" w:rsidRPr="00453F5D" w:rsidTr="00992661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CV (%)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firstLine="2088"/>
            </w:pPr>
            <w:r w:rsidRPr="00453F5D"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9AA" w:rsidRPr="00453F5D" w:rsidRDefault="003029AA" w:rsidP="00992661">
            <w:pPr>
              <w:spacing w:line="480" w:lineRule="auto"/>
              <w:ind w:left="-2088" w:right="-250" w:firstLine="2088"/>
            </w:pPr>
            <w:r w:rsidRPr="00453F5D">
              <w:t>13,9</w:t>
            </w:r>
          </w:p>
        </w:tc>
      </w:tr>
    </w:tbl>
    <w:p w:rsidR="003029AA" w:rsidRPr="00453F5D" w:rsidRDefault="003029AA" w:rsidP="003029AA">
      <w:pPr>
        <w:spacing w:line="480" w:lineRule="auto"/>
        <w:ind w:right="-2"/>
        <w:jc w:val="both"/>
        <w:rPr>
          <w:vertAlign w:val="superscript"/>
        </w:rPr>
      </w:pPr>
      <w:r w:rsidRPr="00453F5D">
        <w:rPr>
          <w:vertAlign w:val="superscript"/>
        </w:rPr>
        <w:t>1</w:t>
      </w:r>
      <w:r w:rsidRPr="00453F5D">
        <w:t xml:space="preserve">Indutores aplicados em plantas com 27 dias e inoculação com </w:t>
      </w:r>
      <w:proofErr w:type="spellStart"/>
      <w:r w:rsidRPr="00453F5D">
        <w:rPr>
          <w:i/>
        </w:rPr>
        <w:t>Pectobacterium</w:t>
      </w:r>
      <w:proofErr w:type="spellEnd"/>
      <w:r w:rsidRPr="00453F5D">
        <w:rPr>
          <w:i/>
        </w:rPr>
        <w:t xml:space="preserve"> </w:t>
      </w:r>
      <w:proofErr w:type="spellStart"/>
      <w:r w:rsidRPr="00453F5D">
        <w:rPr>
          <w:i/>
        </w:rPr>
        <w:t>carotovorum</w:t>
      </w:r>
      <w:proofErr w:type="spellEnd"/>
      <w:r w:rsidRPr="00453F5D">
        <w:t xml:space="preserve"> </w:t>
      </w:r>
      <w:proofErr w:type="spellStart"/>
      <w:r w:rsidRPr="00453F5D">
        <w:t>subsp</w:t>
      </w:r>
      <w:proofErr w:type="spellEnd"/>
      <w:r w:rsidRPr="00453F5D">
        <w:t xml:space="preserve">. </w:t>
      </w:r>
      <w:proofErr w:type="spellStart"/>
      <w:r w:rsidRPr="00453F5D">
        <w:rPr>
          <w:i/>
        </w:rPr>
        <w:t>carotovorum</w:t>
      </w:r>
      <w:proofErr w:type="spellEnd"/>
      <w:r w:rsidRPr="00453F5D">
        <w:t xml:space="preserve"> sete dias após indução; </w:t>
      </w:r>
      <w:r w:rsidRPr="00453F5D">
        <w:rPr>
          <w:vertAlign w:val="superscript"/>
        </w:rPr>
        <w:t>2</w:t>
      </w:r>
      <w:r w:rsidRPr="00453F5D">
        <w:t xml:space="preserve">PI= número de horas entre a inoculação e o surgimento dos sintomas da doença; IDO=  calculado de acordo com </w:t>
      </w:r>
      <w:proofErr w:type="spellStart"/>
      <w:r w:rsidRPr="00453F5D">
        <w:t>McKinney</w:t>
      </w:r>
      <w:proofErr w:type="spellEnd"/>
      <w:r w:rsidRPr="00453F5D">
        <w:t xml:space="preserve"> (1923); SEV= determinada às 48 h após a inoculação, com o auxílio da escala descritiva de </w:t>
      </w:r>
      <w:proofErr w:type="spellStart"/>
      <w:r w:rsidRPr="00453F5D">
        <w:t>Ren</w:t>
      </w:r>
      <w:proofErr w:type="spellEnd"/>
      <w:r w:rsidRPr="00453F5D">
        <w:t xml:space="preserve">, </w:t>
      </w:r>
      <w:proofErr w:type="spellStart"/>
      <w:r w:rsidRPr="00453F5D">
        <w:t>Petzoldt</w:t>
      </w:r>
      <w:proofErr w:type="spellEnd"/>
      <w:r w:rsidRPr="00453F5D">
        <w:t xml:space="preserve"> e </w:t>
      </w:r>
      <w:proofErr w:type="spellStart"/>
      <w:r w:rsidRPr="00453F5D">
        <w:t>Dickson</w:t>
      </w:r>
      <w:proofErr w:type="spellEnd"/>
      <w:r w:rsidRPr="00453F5D">
        <w:t xml:space="preserve"> (2001); AACPD= </w:t>
      </w:r>
      <w:r w:rsidRPr="00453F5D">
        <w:lastRenderedPageBreak/>
        <w:t xml:space="preserve">calculada segundo </w:t>
      </w:r>
      <w:proofErr w:type="spellStart"/>
      <w:r w:rsidRPr="00453F5D">
        <w:t>Shaner</w:t>
      </w:r>
      <w:proofErr w:type="spellEnd"/>
      <w:r w:rsidRPr="00453F5D">
        <w:t xml:space="preserve"> e Finney (1977);</w:t>
      </w:r>
      <w:r w:rsidRPr="00453F5D">
        <w:rPr>
          <w:vertAlign w:val="superscript"/>
        </w:rPr>
        <w:t>3</w:t>
      </w:r>
      <w:r w:rsidRPr="00453F5D">
        <w:t>Média de quatro repetições; médias seguidas de mesma letra nas colunas não diferem estatisticamente entre si, Teste de Duncan (P≤0,05)</w:t>
      </w:r>
    </w:p>
    <w:p w:rsidR="003029AA" w:rsidRPr="00453F5D" w:rsidRDefault="003029AA" w:rsidP="003029AA">
      <w:pPr>
        <w:spacing w:line="480" w:lineRule="auto"/>
        <w:jc w:val="both"/>
        <w:outlineLvl w:val="2"/>
      </w:pPr>
    </w:p>
    <w:p w:rsidR="002C2365" w:rsidRDefault="002C2365"/>
    <w:sectPr w:rsidR="002C2365" w:rsidSect="003029A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65"/>
    <w:rsid w:val="002C2365"/>
    <w:rsid w:val="003029AA"/>
    <w:rsid w:val="009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13D"/>
  <w15:chartTrackingRefBased/>
  <w15:docId w15:val="{122F785B-4A55-4DFE-9092-1D08E26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2016-08-14T16:24:00Z</dcterms:created>
  <dcterms:modified xsi:type="dcterms:W3CDTF">2016-08-14T18:11:00Z</dcterms:modified>
</cp:coreProperties>
</file>